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>al Direcţiei cooperare internaţională şi management proiecte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B14E4F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>al Direcţiei cooperare internaţională şi management proiecte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B14E4F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0289" w:rsidRDefault="00017C95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017C95">
        <w:rPr>
          <w:b w:val="0"/>
          <w:bCs w:val="0"/>
        </w:rPr>
        <w:t xml:space="preserve">ealizarea obiectivelor strategice ale Inspectoratului General </w:t>
      </w:r>
      <w:r>
        <w:rPr>
          <w:b w:val="0"/>
          <w:bCs w:val="0"/>
        </w:rPr>
        <w:t xml:space="preserve">pentru Migraţie </w:t>
      </w:r>
      <w:r w:rsidRPr="00017C95">
        <w:rPr>
          <w:b w:val="0"/>
          <w:bCs w:val="0"/>
        </w:rPr>
        <w:t>în domeniul relațiilor internaționale, procesului de integrare europeană, a reprezentării externe, precum și coordonării activităților referitoare la implementarea proiectelor, care au ca sursă de finanțare fonduri externe</w:t>
      </w:r>
      <w:r w:rsidR="00B10289">
        <w:rPr>
          <w:b w:val="0"/>
          <w:bCs w:val="0"/>
        </w:rPr>
        <w:t>.</w:t>
      </w:r>
    </w:p>
    <w:p w:rsidR="00017C95" w:rsidRPr="00017C95" w:rsidRDefault="00017C95" w:rsidP="00017C95">
      <w:pPr>
        <w:pStyle w:val="1"/>
        <w:spacing w:before="95"/>
        <w:ind w:right="357"/>
        <w:jc w:val="both"/>
        <w:rPr>
          <w:b w:val="0"/>
          <w:bCs w:val="0"/>
          <w:sz w:val="2"/>
          <w:szCs w:val="2"/>
        </w:rPr>
      </w:pP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realizarea obiectivelor și politicilor IGM pe plan internațional și promovarea relațiilor bilaterale și multilaterale pe segmentul cooperării cu structurile similare din alte state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elaborarea, accesarea și implementarea proiectelor cu finanțare externă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Identificarea potențialilor donatori și instrumentelor finanțare eligibile pentru IGM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17C95">
                              <w:rPr>
                                <w:sz w:val="24"/>
                                <w:szCs w:val="24"/>
                              </w:rPr>
                              <w:t>Evaluarea, de comun cu subdiviziunile structurale IGM, a necesităților de intervenție instituțională PCI accesarea de granturi și respectarea criteriilor eligibilitate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realizarea obiectivelor și politicilor IGM pe plan internațional și promovarea relațiilor bilaterale și multilaterale pe segmentul cooperării cu structurile similare din alte state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elaborarea, accesarea și implementarea proiectelor cu finanțare externă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Identificarea potențialilor donatori și instrumentelor finanțare eligibile pentru IGM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017C95">
                        <w:rPr>
                          <w:sz w:val="24"/>
                          <w:szCs w:val="24"/>
                        </w:rPr>
                        <w:t>Evaluarea, de comun cu subdiviziunile structurale IGM, a necesităților de intervenție instituțională PCI accesarea de granturi și respectarea criteriilor eligibilitate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332B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17.03.2025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332B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17.03.2025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4B6817" w:rsidRPr="006F6B90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B6817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privind tratatele internaţionale ale Republicii Moldova</w:t>
      </w:r>
    </w:p>
    <w:p w:rsidR="004B6817" w:rsidRPr="004B6817" w:rsidRDefault="004B6817" w:rsidP="004B68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A381F"/>
    <w:rsid w:val="002771D3"/>
    <w:rsid w:val="00312132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620D9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204C6"/>
    <w:rsid w:val="00BC24E0"/>
    <w:rsid w:val="00C24864"/>
    <w:rsid w:val="00C6007B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F6AF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5</cp:revision>
  <cp:lastPrinted>2023-09-13T08:39:00Z</cp:lastPrinted>
  <dcterms:created xsi:type="dcterms:W3CDTF">2025-02-23T12:12:00Z</dcterms:created>
  <dcterms:modified xsi:type="dcterms:W3CDTF">2025-03-04T11:25:00Z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