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5430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017C95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1843" w:right="1708" w:hanging="1985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Ofiţer</w:t>
                            </w:r>
                            <w:proofErr w:type="spellEnd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superior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al </w:t>
                            </w:r>
                            <w:r w:rsidR="000365E0">
                              <w:rPr>
                                <w:b/>
                                <w:color w:val="C00000"/>
                                <w:sz w:val="24"/>
                              </w:rPr>
                              <w:t>Secției readmisie a Direcției supravegherea regimului de ședere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execuţie</w:t>
                            </w:r>
                            <w:proofErr w:type="spellEnd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0365E0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017C95">
                      <w:pPr>
                        <w:tabs>
                          <w:tab w:val="left" w:pos="8222"/>
                        </w:tabs>
                        <w:spacing w:line="244" w:lineRule="auto"/>
                        <w:ind w:left="1843" w:right="1708" w:hanging="1985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Ofiţer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 superior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 xml:space="preserve">al </w:t>
                      </w:r>
                      <w:r w:rsidR="000365E0">
                        <w:rPr>
                          <w:b/>
                          <w:color w:val="C00000"/>
                          <w:sz w:val="24"/>
                        </w:rPr>
                        <w:t>Secției readmisie a Direcției supravegherea regimului de ședere</w:t>
                      </w:r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execuţie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0365E0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B16611" w:rsidRPr="00017C95" w:rsidRDefault="00B16611" w:rsidP="00B16611">
      <w:pPr>
        <w:pStyle w:val="1"/>
        <w:spacing w:before="95"/>
        <w:ind w:right="357" w:firstLine="519"/>
        <w:jc w:val="both"/>
        <w:rPr>
          <w:b w:val="0"/>
          <w:bCs w:val="0"/>
          <w:sz w:val="2"/>
          <w:szCs w:val="2"/>
        </w:rPr>
      </w:pPr>
      <w:r w:rsidRPr="00B16611">
        <w:rPr>
          <w:b w:val="0"/>
          <w:bCs w:val="0"/>
        </w:rPr>
        <w:t>Asigură  implementarea acordurilor de readmisie încheiate de către Republica Moldova cu alte state sau comunități de state.</w:t>
      </w:r>
    </w:p>
    <w:p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180975</wp:posOffset>
                </wp:positionV>
                <wp:extent cx="6196965" cy="170180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70180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C95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B16611" w:rsidRPr="00B16611">
                              <w:rPr>
                                <w:sz w:val="24"/>
                                <w:szCs w:val="24"/>
                              </w:rPr>
                              <w:t>Participarea la operațiuni și misiuni de returnare în cadrul implementării Acordului de readmisie încheiat între Republica Moldova și Uniunea Europeană și a altor acorduri cu alte state, inclusiv la preluarea propriilor cetățeni</w:t>
                            </w:r>
                            <w:r w:rsidR="00017C9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Pr="006F0C9A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B16611" w:rsidRPr="00B16611">
                              <w:rPr>
                                <w:sz w:val="24"/>
                                <w:szCs w:val="24"/>
                              </w:rPr>
                              <w:t>Participarea la misiunile de escortă a persoanelor în cadrul procedurilor de readmisie, inclusiv în calitate de observator</w:t>
                            </w:r>
                            <w:r w:rsidR="00B1661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3F04" w:rsidRDefault="006F0C9A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6A3F04" w:rsidRPr="006A3F04">
                              <w:rPr>
                                <w:sz w:val="24"/>
                                <w:szCs w:val="24"/>
                              </w:rPr>
                              <w:t>Implementarea acordurilor de readmisie încheiat de către Republica Moldova cu alte state sau comunități de state</w:t>
                            </w:r>
                            <w:r w:rsidR="006A3F0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17C95" w:rsidRPr="006F0C9A" w:rsidRDefault="00017C95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6A3F04" w:rsidRPr="006A3F04">
                              <w:rPr>
                                <w:sz w:val="24"/>
                                <w:szCs w:val="24"/>
                              </w:rPr>
                              <w:t>Asigurarea procedurilor de readmisie a persoanelor</w:t>
                            </w:r>
                            <w:r w:rsidR="006A3F0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6A3F04" w:rsidRPr="006A3F04">
                              <w:t xml:space="preserve"> </w:t>
                            </w:r>
                            <w:r w:rsidR="006A3F04" w:rsidRPr="006A3F04">
                              <w:rPr>
                                <w:sz w:val="24"/>
                                <w:szCs w:val="24"/>
                              </w:rPr>
                              <w:t>Examinarea și înaintarea cererilor de readmisie</w:t>
                            </w:r>
                          </w:p>
                          <w:p w:rsidR="00C6007B" w:rsidRPr="006B78DB" w:rsidRDefault="00C6007B" w:rsidP="006F0C9A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25pt;width:487.95pt;height:13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" fillcolor="#fcfbf9" stroked="f">
                <v:textbox inset="0,0,0,0">
                  <w:txbxContent>
                    <w:p w:rsidR="00017C95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B16611" w:rsidRPr="00B16611">
                        <w:rPr>
                          <w:sz w:val="24"/>
                          <w:szCs w:val="24"/>
                        </w:rPr>
                        <w:t>Participarea la operațiuni și misiuni de returnare în cadrul implementării Acordului de readmisie încheiat între Republica Moldova și Uniunea Europeană și a altor acorduri cu alte state, inclusiv la preluarea propriilor cetățeni</w:t>
                      </w:r>
                      <w:r w:rsidR="00017C9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6F0C9A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B16611" w:rsidRPr="00B16611">
                        <w:rPr>
                          <w:sz w:val="24"/>
                          <w:szCs w:val="24"/>
                        </w:rPr>
                        <w:t>Participarea la misiunile de escortă a persoanelor în cadrul procedurilor de readmisie, inclusiv în calitate de observator</w:t>
                      </w:r>
                      <w:r w:rsidR="00B1661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6A3F04" w:rsidRDefault="006F0C9A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6A3F04" w:rsidRPr="006A3F04">
                        <w:rPr>
                          <w:sz w:val="24"/>
                          <w:szCs w:val="24"/>
                        </w:rPr>
                        <w:t>Implementarea acordurilor de readmisie încheiat de către Republica Moldova cu alte state sau comunități de state</w:t>
                      </w:r>
                      <w:r w:rsidR="006A3F0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17C95" w:rsidRPr="006F0C9A" w:rsidRDefault="00017C95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="006A3F04" w:rsidRPr="006A3F04">
                        <w:rPr>
                          <w:sz w:val="24"/>
                          <w:szCs w:val="24"/>
                        </w:rPr>
                        <w:t>Asigurarea procedurilor de readmisie a persoanelor</w:t>
                      </w:r>
                      <w:r w:rsidR="006A3F04">
                        <w:rPr>
                          <w:sz w:val="24"/>
                          <w:szCs w:val="24"/>
                        </w:rPr>
                        <w:t>.</w:t>
                      </w:r>
                      <w:r w:rsidR="006A3F04" w:rsidRPr="006A3F04">
                        <w:t xml:space="preserve"> </w:t>
                      </w:r>
                      <w:r w:rsidR="006A3F04" w:rsidRPr="006A3F04">
                        <w:rPr>
                          <w:sz w:val="24"/>
                          <w:szCs w:val="24"/>
                        </w:rPr>
                        <w:t>Examinarea și înaintarea cererilor de readmisie</w:t>
                      </w:r>
                    </w:p>
                    <w:p w:rsidR="00C6007B" w:rsidRPr="006B78DB" w:rsidRDefault="00C6007B" w:rsidP="006F0C9A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A3F04" w:rsidRDefault="006A3F04" w:rsidP="006B78DB">
      <w:pPr>
        <w:pStyle w:val="2"/>
        <w:rPr>
          <w:b w:val="0"/>
          <w:bCs w:val="0"/>
          <w:i w:val="0"/>
          <w:iCs w:val="0"/>
          <w:sz w:val="23"/>
          <w:szCs w:val="23"/>
        </w:rPr>
      </w:pPr>
      <w:r w:rsidRPr="006A3F04">
        <w:rPr>
          <w:b w:val="0"/>
          <w:bCs w:val="0"/>
          <w:i w:val="0"/>
          <w:iCs w:val="0"/>
          <w:sz w:val="23"/>
          <w:szCs w:val="23"/>
        </w:rPr>
        <w:t>Studii superioare de licență cu diplomă / echivalente în drept, servicii ale securității, științe sociale și comportamentale, științe administrative.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715B5D" w:rsidRDefault="0062497B" w:rsidP="00715B5D">
      <w:pPr>
        <w:pStyle w:val="a5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62497B" w:rsidP="00017C95">
      <w:pPr>
        <w:pStyle w:val="a5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MoldLex</w:t>
      </w:r>
      <w:proofErr w:type="spellEnd"/>
      <w:r w:rsidRPr="006B78DB">
        <w:rPr>
          <w:sz w:val="23"/>
          <w:szCs w:val="23"/>
        </w:rPr>
        <w:t>)</w:t>
      </w:r>
      <w:r w:rsidR="00017C95">
        <w:rPr>
          <w:sz w:val="23"/>
          <w:szCs w:val="23"/>
        </w:rPr>
        <w:t>;</w:t>
      </w:r>
    </w:p>
    <w:p w:rsidR="00017C95" w:rsidRDefault="00017C95" w:rsidP="00017C95">
      <w:pPr>
        <w:pStyle w:val="a5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017C95">
        <w:rPr>
          <w:sz w:val="23"/>
          <w:szCs w:val="23"/>
        </w:rPr>
        <w:t xml:space="preserve">preferabil cunoașterea unei limbi de circulație internațională, nivelul </w:t>
      </w:r>
      <w:proofErr w:type="spellStart"/>
      <w:r w:rsidRPr="00017C95">
        <w:rPr>
          <w:sz w:val="23"/>
          <w:szCs w:val="23"/>
        </w:rPr>
        <w:t>B2</w:t>
      </w:r>
      <w:proofErr w:type="spellEnd"/>
      <w:r>
        <w:rPr>
          <w:sz w:val="23"/>
          <w:szCs w:val="23"/>
        </w:rPr>
        <w:t>.</w:t>
      </w:r>
    </w:p>
    <w:p w:rsidR="006B78DB" w:rsidRPr="006F0C9A" w:rsidRDefault="006B78DB" w:rsidP="006B78DB">
      <w:pPr>
        <w:pStyle w:val="a5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</w:t>
      </w:r>
      <w:proofErr w:type="spellStart"/>
      <w:r w:rsidRPr="00B12F7E">
        <w:rPr>
          <w:lang w:eastAsia="ru-RU"/>
        </w:rPr>
        <w:t>puţin</w:t>
      </w:r>
      <w:proofErr w:type="spellEnd"/>
      <w:r w:rsidRPr="00B12F7E">
        <w:rPr>
          <w:lang w:eastAsia="ru-RU"/>
        </w:rPr>
        <w:t xml:space="preserve">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 xml:space="preserve">vechime în </w:t>
      </w:r>
      <w:proofErr w:type="spellStart"/>
      <w:r w:rsidRPr="00B12F7E">
        <w:rPr>
          <w:lang w:eastAsia="ru-RU"/>
        </w:rPr>
        <w:t>funcţia</w:t>
      </w:r>
      <w:proofErr w:type="spellEnd"/>
      <w:r w:rsidRPr="00B12F7E">
        <w:rPr>
          <w:lang w:eastAsia="ru-RU"/>
        </w:rPr>
        <w:t xml:space="preserve"> de nivelul </w:t>
      </w:r>
      <w:proofErr w:type="spellStart"/>
      <w:r w:rsidRPr="00B12F7E">
        <w:rPr>
          <w:lang w:eastAsia="ru-RU"/>
        </w:rPr>
        <w:t>B03</w:t>
      </w:r>
      <w:proofErr w:type="spellEnd"/>
      <w:r w:rsidRPr="00B12F7E">
        <w:rPr>
          <w:lang w:eastAsia="ru-RU"/>
        </w:rPr>
        <w:t>;</w:t>
      </w:r>
    </w:p>
    <w:p w:rsidR="0078300E" w:rsidRPr="006B78DB" w:rsidRDefault="0062497B">
      <w:pPr>
        <w:pStyle w:val="a5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puţin</w:t>
      </w:r>
      <w:proofErr w:type="spellEnd"/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experienţă</w:t>
      </w:r>
      <w:proofErr w:type="spellEnd"/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5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obţinut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performanţelor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proofErr w:type="spellStart"/>
      <w:r w:rsidR="00715B5D">
        <w:rPr>
          <w:sz w:val="23"/>
          <w:szCs w:val="23"/>
        </w:rPr>
        <w:t>execuţie</w:t>
      </w:r>
      <w:proofErr w:type="spellEnd"/>
      <w:r w:rsidR="00497592">
        <w:rPr>
          <w:sz w:val="23"/>
          <w:szCs w:val="23"/>
        </w:rPr>
        <w:t xml:space="preserve"> de nivelul </w:t>
      </w:r>
      <w:proofErr w:type="spellStart"/>
      <w:r w:rsidR="00715B5D">
        <w:rPr>
          <w:sz w:val="23"/>
          <w:szCs w:val="23"/>
        </w:rPr>
        <w:t>B02</w:t>
      </w:r>
      <w:proofErr w:type="spellEnd"/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119380</wp:posOffset>
                </wp:positionV>
                <wp:extent cx="6287135" cy="3076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76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A3F04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02.07.2025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6A3F04">
                              <w:fldChar w:fldCharType="begin"/>
                            </w:r>
                            <w:r w:rsidR="006A3F04">
                              <w:instrText xml:space="preserve"> HYPERLINK "http://www.mai.gov.md/" \h </w:instrText>
                            </w:r>
                            <w:r w:rsidR="006A3F04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6A3F0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4pt;width:495.05pt;height:24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A3F04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02.07.2025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6A3F04">
                        <w:fldChar w:fldCharType="begin"/>
                      </w:r>
                      <w:r w:rsidR="006A3F04">
                        <w:instrText xml:space="preserve"> HYPERLINK "http://www.mai.gov.md/" \h </w:instrText>
                      </w:r>
                      <w:r w:rsidR="006A3F04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6A3F04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6A3F04" w:rsidRDefault="006A3F04" w:rsidP="006A3F04">
      <w:pPr>
        <w:pStyle w:val="a3"/>
        <w:spacing w:before="9"/>
        <w:rPr>
          <w:b/>
          <w:sz w:val="23"/>
        </w:rPr>
      </w:pPr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nr.218</w:t>
      </w:r>
      <w:proofErr w:type="spellEnd"/>
      <w:r w:rsidRPr="006F6B90">
        <w:rPr>
          <w:sz w:val="23"/>
          <w:szCs w:val="23"/>
        </w:rPr>
        <w:t>-XVI din 24.10.2008</w:t>
      </w:r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nr.320</w:t>
      </w:r>
      <w:proofErr w:type="spellEnd"/>
      <w:r w:rsidRPr="006F6B90">
        <w:rPr>
          <w:sz w:val="23"/>
          <w:szCs w:val="23"/>
        </w:rPr>
        <w:t xml:space="preserve">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nr.200</w:t>
      </w:r>
      <w:proofErr w:type="spellEnd"/>
      <w:r w:rsidRPr="006F6B90">
        <w:rPr>
          <w:sz w:val="23"/>
          <w:szCs w:val="23"/>
        </w:rPr>
        <w:t xml:space="preserve"> din 16.07.2010 privind regimul străinilor în Republica Moldova</w:t>
      </w:r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 w:rsidRPr="006F6B90">
        <w:rPr>
          <w:sz w:val="23"/>
          <w:szCs w:val="23"/>
        </w:rPr>
        <w:t>naţional</w:t>
      </w:r>
      <w:proofErr w:type="spellEnd"/>
      <w:r w:rsidRPr="006F6B90">
        <w:rPr>
          <w:sz w:val="23"/>
          <w:szCs w:val="23"/>
        </w:rPr>
        <w:t xml:space="preserve"> de </w:t>
      </w:r>
      <w:proofErr w:type="spellStart"/>
      <w:r w:rsidRPr="006F6B90">
        <w:rPr>
          <w:sz w:val="23"/>
          <w:szCs w:val="23"/>
        </w:rPr>
        <w:t>paşapoarte</w:t>
      </w:r>
      <w:proofErr w:type="spellEnd"/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nr.270</w:t>
      </w:r>
      <w:proofErr w:type="spellEnd"/>
      <w:r w:rsidRPr="006F6B90">
        <w:rPr>
          <w:sz w:val="23"/>
          <w:szCs w:val="23"/>
        </w:rPr>
        <w:t xml:space="preserve"> din 18.12.2008 privind azilul în RM</w:t>
      </w:r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Legeanr.274</w:t>
      </w:r>
      <w:proofErr w:type="spellEnd"/>
      <w:r w:rsidRPr="006F6B90">
        <w:rPr>
          <w:sz w:val="23"/>
          <w:szCs w:val="23"/>
        </w:rPr>
        <w:t xml:space="preserve"> din 27.12.2011 privind integrarea străinilor în Republica Moldova</w:t>
      </w:r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Nr.257</w:t>
      </w:r>
      <w:proofErr w:type="spellEnd"/>
      <w:r w:rsidRPr="006F6B90">
        <w:rPr>
          <w:sz w:val="23"/>
          <w:szCs w:val="23"/>
        </w:rPr>
        <w:t xml:space="preserve"> din 01.11.2013 privind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au </w:t>
      </w:r>
      <w:proofErr w:type="spellStart"/>
      <w:r w:rsidRPr="006F6B90">
        <w:rPr>
          <w:sz w:val="23"/>
          <w:szCs w:val="23"/>
        </w:rPr>
        <w:t>obligaţia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</w:t>
      </w:r>
      <w:proofErr w:type="spellStart"/>
      <w:r w:rsidRPr="006F6B90">
        <w:rPr>
          <w:sz w:val="23"/>
          <w:szCs w:val="23"/>
        </w:rPr>
        <w:t>sînt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exoneraţi</w:t>
      </w:r>
      <w:proofErr w:type="spellEnd"/>
      <w:r w:rsidRPr="006F6B90">
        <w:rPr>
          <w:sz w:val="23"/>
          <w:szCs w:val="23"/>
        </w:rPr>
        <w:t xml:space="preserve"> de obligativitatea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la traversarea frontierei de stat a Republicii Moldova</w:t>
      </w:r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nr.269</w:t>
      </w:r>
      <w:proofErr w:type="spellEnd"/>
      <w:r w:rsidRPr="006F6B90">
        <w:rPr>
          <w:sz w:val="23"/>
          <w:szCs w:val="23"/>
        </w:rPr>
        <w:t xml:space="preserve">-XIII din 09.11.94 cu privire la </w:t>
      </w:r>
      <w:proofErr w:type="spellStart"/>
      <w:r w:rsidRPr="006F6B90">
        <w:rPr>
          <w:sz w:val="23"/>
          <w:szCs w:val="23"/>
        </w:rPr>
        <w:t>ieşirea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intrarea în Republica Moldova</w:t>
      </w:r>
    </w:p>
    <w:p w:rsidR="006A3F04" w:rsidRPr="006F6B90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nr.241</w:t>
      </w:r>
      <w:proofErr w:type="spellEnd"/>
      <w:r w:rsidRPr="006F6B90">
        <w:rPr>
          <w:sz w:val="23"/>
          <w:szCs w:val="23"/>
        </w:rPr>
        <w:t xml:space="preserve">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:rsidR="006A3F04" w:rsidRPr="00EA76DE" w:rsidRDefault="006A3F04" w:rsidP="006A3F04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Nr.982</w:t>
      </w:r>
      <w:proofErr w:type="spellEnd"/>
      <w:r w:rsidRPr="006F6B90">
        <w:rPr>
          <w:sz w:val="23"/>
          <w:szCs w:val="23"/>
        </w:rPr>
        <w:t xml:space="preserve">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</w:p>
    <w:p w:rsidR="004B6817" w:rsidRPr="004B6817" w:rsidRDefault="004B6817" w:rsidP="006A3F04">
      <w:pPr>
        <w:pStyle w:val="a5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  <w:bookmarkStart w:id="0" w:name="_GoBack"/>
      <w:bookmarkEnd w:id="0"/>
    </w:p>
    <w:sectPr w:rsidR="004B6817" w:rsidRPr="004B6817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75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255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353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451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549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646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744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842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940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C95"/>
    <w:rsid w:val="00027318"/>
    <w:rsid w:val="000365E0"/>
    <w:rsid w:val="000B2437"/>
    <w:rsid w:val="000F5833"/>
    <w:rsid w:val="001202BC"/>
    <w:rsid w:val="001A381F"/>
    <w:rsid w:val="002771D3"/>
    <w:rsid w:val="00312132"/>
    <w:rsid w:val="00396A72"/>
    <w:rsid w:val="003B67E6"/>
    <w:rsid w:val="003F6E74"/>
    <w:rsid w:val="004332BC"/>
    <w:rsid w:val="004528B4"/>
    <w:rsid w:val="00497592"/>
    <w:rsid w:val="004B6817"/>
    <w:rsid w:val="00521E8A"/>
    <w:rsid w:val="00587058"/>
    <w:rsid w:val="0062497B"/>
    <w:rsid w:val="006620D9"/>
    <w:rsid w:val="006A3F04"/>
    <w:rsid w:val="006B78DB"/>
    <w:rsid w:val="006F0C9A"/>
    <w:rsid w:val="006F6B90"/>
    <w:rsid w:val="00706E7A"/>
    <w:rsid w:val="00715B5D"/>
    <w:rsid w:val="00760E46"/>
    <w:rsid w:val="0078300E"/>
    <w:rsid w:val="007B19EE"/>
    <w:rsid w:val="008A2D93"/>
    <w:rsid w:val="0099198B"/>
    <w:rsid w:val="00A83312"/>
    <w:rsid w:val="00B10289"/>
    <w:rsid w:val="00B14E4F"/>
    <w:rsid w:val="00B16611"/>
    <w:rsid w:val="00B204C6"/>
    <w:rsid w:val="00BC24E0"/>
    <w:rsid w:val="00C24864"/>
    <w:rsid w:val="00C6007B"/>
    <w:rsid w:val="00D75051"/>
    <w:rsid w:val="00DD5A78"/>
    <w:rsid w:val="00EA76DE"/>
    <w:rsid w:val="00ED1CC8"/>
    <w:rsid w:val="00EF235C"/>
    <w:rsid w:val="00F5232D"/>
    <w:rsid w:val="00F61F3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29A9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B681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6A3F04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3</cp:revision>
  <cp:lastPrinted>2023-09-13T08:39:00Z</cp:lastPrinted>
  <dcterms:created xsi:type="dcterms:W3CDTF">2025-06-24T13:54:00Z</dcterms:created>
  <dcterms:modified xsi:type="dcterms:W3CDTF">2025-06-24T14:05:00Z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