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611C" w14:textId="77777777" w:rsidR="00D72B33" w:rsidRDefault="00D72B33" w:rsidP="00A76A06">
      <w:pPr>
        <w:spacing w:after="0" w:line="276" w:lineRule="auto"/>
        <w:jc w:val="center"/>
        <w:rPr>
          <w:rFonts w:ascii="Arial Narrow" w:hAnsi="Arial Narrow" w:cs="Arial Narrow"/>
          <w:b/>
          <w:bCs/>
          <w:color w:val="003F85"/>
          <w:sz w:val="32"/>
          <w:szCs w:val="28"/>
          <w:lang w:val="fr-FR"/>
        </w:rPr>
      </w:pPr>
    </w:p>
    <w:p w14:paraId="48D068A1" w14:textId="77777777" w:rsidR="00680195" w:rsidRPr="00327B2A" w:rsidRDefault="00AC74D8" w:rsidP="00A76A06">
      <w:pPr>
        <w:spacing w:after="0" w:line="276" w:lineRule="auto"/>
        <w:jc w:val="center"/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</w:pPr>
      <w:r w:rsidRPr="00327B2A">
        <w:rPr>
          <w:rFonts w:ascii="Arial Narrow" w:hAnsi="Arial Narrow" w:cs="Arial Narrow"/>
          <w:b/>
          <w:bCs/>
          <w:color w:val="003F85"/>
          <w:sz w:val="32"/>
          <w:szCs w:val="28"/>
          <w:lang w:val="fr-FR"/>
        </w:rPr>
        <w:t>COMUNICAT DE PRES</w:t>
      </w:r>
      <w:r w:rsidRPr="00327B2A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Ă </w:t>
      </w:r>
    </w:p>
    <w:p w14:paraId="7E4AD342" w14:textId="77777777" w:rsidR="00104D90" w:rsidRDefault="00083D61" w:rsidP="00A76A06">
      <w:pPr>
        <w:spacing w:after="0" w:line="276" w:lineRule="auto"/>
        <w:jc w:val="right"/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</w:pPr>
      <w:r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>2</w:t>
      </w:r>
      <w:r w:rsidR="00636B5B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>4</w:t>
      </w:r>
      <w:r w:rsidR="00104D90" w:rsidRPr="00327B2A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 </w:t>
      </w:r>
      <w:r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noiembrie </w:t>
      </w:r>
      <w:r w:rsidR="00104D90" w:rsidRPr="00327B2A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>2025</w:t>
      </w:r>
    </w:p>
    <w:p w14:paraId="179784F6" w14:textId="77777777" w:rsidR="00327B2A" w:rsidRPr="00327B2A" w:rsidRDefault="00327B2A" w:rsidP="00A76A06">
      <w:pPr>
        <w:spacing w:after="0" w:line="276" w:lineRule="auto"/>
        <w:jc w:val="right"/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</w:pPr>
    </w:p>
    <w:p w14:paraId="2AD4A01E" w14:textId="77777777" w:rsidR="007C15D9" w:rsidRDefault="007C15D9" w:rsidP="00A76A06">
      <w:pPr>
        <w:spacing w:after="0" w:line="276" w:lineRule="auto"/>
        <w:jc w:val="center"/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</w:pPr>
      <w:r w:rsidRPr="007C15D9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Deschiderea oficială și primul Comitet director al proiectului </w:t>
      </w:r>
    </w:p>
    <w:p w14:paraId="3A0F7511" w14:textId="77777777" w:rsidR="004D697E" w:rsidRPr="004D697E" w:rsidRDefault="004D697E" w:rsidP="004D697E">
      <w:pPr>
        <w:spacing w:line="276" w:lineRule="auto"/>
        <w:jc w:val="center"/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</w:pPr>
      <w:r w:rsidRPr="004D697E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MigraMI – </w:t>
      </w:r>
      <w:r w:rsidRPr="004D697E">
        <w:rPr>
          <w:rFonts w:ascii="Arial Narrow" w:hAnsi="Arial Narrow" w:cs="Arial Narrow"/>
          <w:b/>
          <w:bCs/>
          <w:i/>
          <w:color w:val="003F85"/>
          <w:sz w:val="32"/>
          <w:szCs w:val="28"/>
          <w:lang w:val="ro-RO"/>
        </w:rPr>
        <w:t>Migrants management enhance initiative</w:t>
      </w:r>
      <w:r w:rsidRPr="004D697E">
        <w:rPr>
          <w:rFonts w:ascii="Arial Narrow" w:hAnsi="Arial Narrow" w:cs="Arial Narrow"/>
          <w:b/>
          <w:bCs/>
          <w:color w:val="003F85"/>
          <w:sz w:val="32"/>
          <w:szCs w:val="28"/>
          <w:lang w:val="ro-RO"/>
        </w:rPr>
        <w:t xml:space="preserve"> - ROMD00167</w:t>
      </w:r>
    </w:p>
    <w:p w14:paraId="7E0AE2AA" w14:textId="77777777" w:rsidR="00104D90" w:rsidRPr="00BB4D26" w:rsidRDefault="00104D90" w:rsidP="00A76A06">
      <w:pPr>
        <w:spacing w:line="276" w:lineRule="auto"/>
        <w:jc w:val="center"/>
        <w:rPr>
          <w:rFonts w:ascii="Arial Narrow" w:hAnsi="Arial Narrow" w:cs="Arial Narrow"/>
          <w:color w:val="003F85"/>
          <w:szCs w:val="24"/>
          <w:lang w:val="ro-RO"/>
        </w:rPr>
      </w:pPr>
    </w:p>
    <w:p w14:paraId="02A69DA1" w14:textId="77777777" w:rsidR="00603255" w:rsidRPr="00603255" w:rsidRDefault="00603255" w:rsidP="00603255">
      <w:pPr>
        <w:pStyle w:val="NormalWeb"/>
        <w:ind w:firstLine="720"/>
        <w:jc w:val="both"/>
        <w:rPr>
          <w:rFonts w:ascii="Arial Narrow" w:hAnsi="Arial Narrow"/>
          <w:color w:val="365F91" w:themeColor="accent1" w:themeShade="BF"/>
          <w:lang w:val="ro-RO"/>
        </w:rPr>
      </w:pP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În perioada </w:t>
      </w:r>
      <w:r w:rsidR="004B5EBF" w:rsidRPr="00F37E07">
        <w:rPr>
          <w:rFonts w:ascii="Arial Narrow" w:hAnsi="Arial Narrow"/>
          <w:b/>
          <w:color w:val="365F91" w:themeColor="accent1" w:themeShade="BF"/>
          <w:lang w:val="ro-RO"/>
        </w:rPr>
        <w:t>1</w:t>
      </w:r>
      <w:r w:rsidR="004B5EBF">
        <w:rPr>
          <w:rStyle w:val="Strong"/>
          <w:rFonts w:ascii="Arial Narrow" w:hAnsi="Arial Narrow"/>
          <w:color w:val="365F91" w:themeColor="accent1" w:themeShade="BF"/>
          <w:lang w:val="ro-RO"/>
        </w:rPr>
        <w:t>9</w:t>
      </w:r>
      <w:r w:rsidR="007D3933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–</w:t>
      </w:r>
      <w:r w:rsidR="007D3933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2</w:t>
      </w:r>
      <w:r w:rsidR="00F37E07">
        <w:rPr>
          <w:rStyle w:val="Strong"/>
          <w:rFonts w:ascii="Arial Narrow" w:hAnsi="Arial Narrow"/>
          <w:color w:val="365F91" w:themeColor="accent1" w:themeShade="BF"/>
          <w:lang w:val="ro-RO"/>
        </w:rPr>
        <w:t>1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="00704B34">
        <w:rPr>
          <w:rStyle w:val="Strong"/>
          <w:rFonts w:ascii="Arial Narrow" w:hAnsi="Arial Narrow"/>
          <w:color w:val="365F91" w:themeColor="accent1" w:themeShade="BF"/>
          <w:lang w:val="ro-RO"/>
        </w:rPr>
        <w:t>noiembrie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2025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, în municipiul Iași, România, au avut loc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Conferința de deschidere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 și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primul Comitet director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 ale proiectului </w:t>
      </w:r>
      <w:r w:rsidR="0014398F" w:rsidRPr="0014398F">
        <w:rPr>
          <w:rFonts w:ascii="Arial Narrow" w:hAnsi="Arial Narrow"/>
          <w:b/>
          <w:bCs/>
          <w:iCs/>
          <w:color w:val="365F91" w:themeColor="accent1" w:themeShade="BF"/>
          <w:lang w:val="ro-RO"/>
        </w:rPr>
        <w:t xml:space="preserve">MigraMI – </w:t>
      </w:r>
      <w:r w:rsidR="0014398F" w:rsidRPr="0014398F">
        <w:rPr>
          <w:rFonts w:ascii="Arial Narrow" w:hAnsi="Arial Narrow"/>
          <w:b/>
          <w:bCs/>
          <w:i/>
          <w:iCs/>
          <w:color w:val="365F91" w:themeColor="accent1" w:themeShade="BF"/>
          <w:lang w:val="ro-RO"/>
        </w:rPr>
        <w:t>Migrants management enhance initiative</w:t>
      </w:r>
      <w:r w:rsidR="0014398F" w:rsidRPr="0014398F">
        <w:rPr>
          <w:rFonts w:ascii="Arial Narrow" w:hAnsi="Arial Narrow"/>
          <w:b/>
          <w:bCs/>
          <w:iCs/>
          <w:color w:val="365F91" w:themeColor="accent1" w:themeShade="BF"/>
          <w:lang w:val="ro-RO"/>
        </w:rPr>
        <w:t xml:space="preserve"> - ROMD00167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, finanțat prin </w:t>
      </w:r>
      <w:r w:rsidRPr="001E42C0">
        <w:rPr>
          <w:rStyle w:val="Strong"/>
          <w:rFonts w:ascii="Arial Narrow" w:hAnsi="Arial Narrow"/>
          <w:i/>
          <w:color w:val="365F91" w:themeColor="accent1" w:themeShade="BF"/>
          <w:lang w:val="ro-RO"/>
        </w:rPr>
        <w:t>Programul</w:t>
      </w:r>
      <w:r w:rsidRPr="001E42C0">
        <w:rPr>
          <w:rStyle w:val="Strong"/>
          <w:rFonts w:ascii="Arial Narrow" w:hAnsi="Arial Narrow"/>
          <w:b w:val="0"/>
          <w:i/>
          <w:color w:val="365F91" w:themeColor="accent1" w:themeShade="BF"/>
          <w:lang w:val="ro-RO"/>
        </w:rPr>
        <w:t xml:space="preserve"> </w:t>
      </w:r>
      <w:r w:rsidR="00C37435" w:rsidRPr="001E42C0">
        <w:rPr>
          <w:rFonts w:ascii="Arial Narrow" w:hAnsi="Arial Narrow"/>
          <w:b/>
          <w:i/>
          <w:color w:val="365F91" w:themeColor="accent1" w:themeShade="BF"/>
          <w:lang w:val="ro-RO"/>
        </w:rPr>
        <w:t xml:space="preserve">Interreg VI-A </w:t>
      </w:r>
      <w:r w:rsidRPr="001E42C0">
        <w:rPr>
          <w:rStyle w:val="Strong"/>
          <w:rFonts w:ascii="Arial Narrow" w:hAnsi="Arial Narrow"/>
          <w:i/>
          <w:color w:val="365F91" w:themeColor="accent1" w:themeShade="BF"/>
          <w:lang w:val="ro-RO"/>
        </w:rPr>
        <w:t>NEXT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România</w:t>
      </w:r>
      <w:r w:rsidR="00D200DB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–</w:t>
      </w:r>
      <w:r w:rsidR="00D200DB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Republica Moldova 2021–2027</w:t>
      </w:r>
      <w:r w:rsidRPr="00603255">
        <w:rPr>
          <w:rFonts w:ascii="Arial Narrow" w:hAnsi="Arial Narrow"/>
          <w:color w:val="365F91" w:themeColor="accent1" w:themeShade="BF"/>
          <w:lang w:val="ro-RO"/>
        </w:rPr>
        <w:t>.</w:t>
      </w:r>
    </w:p>
    <w:p w14:paraId="4CF9E55B" w14:textId="77777777" w:rsidR="00603255" w:rsidRPr="00603255" w:rsidRDefault="00603255" w:rsidP="00603255">
      <w:pPr>
        <w:pStyle w:val="NormalWeb"/>
        <w:jc w:val="both"/>
        <w:rPr>
          <w:rFonts w:ascii="Arial Narrow" w:hAnsi="Arial Narrow"/>
          <w:color w:val="365F91" w:themeColor="accent1" w:themeShade="BF"/>
          <w:lang w:val="ro-RO"/>
        </w:rPr>
      </w:pPr>
      <w:r>
        <w:rPr>
          <w:rFonts w:ascii="Arial Narrow" w:hAnsi="Arial Narrow"/>
          <w:color w:val="365F91" w:themeColor="accent1" w:themeShade="BF"/>
          <w:lang w:val="ro-RO"/>
        </w:rPr>
        <w:tab/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Evenimentele au reunit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echipele de implementare din România </w:t>
      </w:r>
      <w:r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>și Republica Moldova</w:t>
      </w:r>
      <w:r w:rsidRPr="001D1613">
        <w:rPr>
          <w:rFonts w:ascii="Arial Narrow" w:hAnsi="Arial Narrow"/>
          <w:b/>
          <w:bCs/>
          <w:color w:val="365F91" w:themeColor="accent1" w:themeShade="BF"/>
          <w:lang w:val="ro-RO"/>
        </w:rPr>
        <w:t xml:space="preserve">, </w:t>
      </w:r>
      <w:r w:rsidRPr="001D1613">
        <w:rPr>
          <w:rFonts w:ascii="Arial Narrow" w:hAnsi="Arial Narrow"/>
          <w:color w:val="365F91" w:themeColor="accent1" w:themeShade="BF"/>
          <w:lang w:val="ro-RO"/>
        </w:rPr>
        <w:t xml:space="preserve">reprezentanți ai </w:t>
      </w:r>
      <w:r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>Inspectoratului Teritorial al Poliției de Frontieră Iași</w:t>
      </w:r>
      <w:r w:rsidR="00405E75"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(Lider de Proiect</w:t>
      </w:r>
      <w:r w:rsidR="00A94EFF"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>),</w:t>
      </w:r>
      <w:r w:rsidR="00FB7AE5" w:rsidRPr="001D1613">
        <w:rPr>
          <w:rFonts w:ascii="Arial Narrow" w:hAnsi="Arial Narrow"/>
          <w:color w:val="365F91" w:themeColor="accent1" w:themeShade="BF"/>
        </w:rPr>
        <w:t xml:space="preserve"> </w:t>
      </w:r>
      <w:r w:rsidR="001D1613" w:rsidRPr="001D1613">
        <w:rPr>
          <w:rFonts w:ascii="Arial Narrow" w:hAnsi="Arial Narrow"/>
          <w:color w:val="365F91" w:themeColor="accent1" w:themeShade="BF"/>
        </w:rPr>
        <w:t xml:space="preserve">ai </w:t>
      </w:r>
      <w:r w:rsidR="00FB7AE5"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>Inspectoratul</w:t>
      </w:r>
      <w:r w:rsidR="008F7E53">
        <w:rPr>
          <w:rStyle w:val="Strong"/>
          <w:rFonts w:ascii="Arial Narrow" w:hAnsi="Arial Narrow"/>
          <w:color w:val="365F91" w:themeColor="accent1" w:themeShade="BF"/>
          <w:lang w:val="ro-RO"/>
        </w:rPr>
        <w:t>ui</w:t>
      </w:r>
      <w:r w:rsidR="00FB7AE5" w:rsidRPr="001D1613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General al Poliției de Frontieră al M.A.I. al Republicii Moldova (partenerul nr. 1)</w:t>
      </w:r>
      <w:r w:rsidR="00992409">
        <w:rPr>
          <w:rFonts w:ascii="Arial Narrow" w:hAnsi="Arial Narrow"/>
          <w:color w:val="365F91" w:themeColor="accent1" w:themeShade="BF"/>
          <w:lang w:val="ro-RO"/>
        </w:rPr>
        <w:t xml:space="preserve"> </w:t>
      </w:r>
      <w:r w:rsidR="00992409" w:rsidRPr="00E81FA9">
        <w:rPr>
          <w:rFonts w:ascii="Arial Narrow" w:hAnsi="Arial Narrow" w:cs="Arial Narrow"/>
          <w:color w:val="365F91" w:themeColor="accent1" w:themeShade="BF"/>
          <w:lang w:val="ro-RO"/>
        </w:rPr>
        <w:t xml:space="preserve">și </w:t>
      </w:r>
      <w:r w:rsidR="00992409" w:rsidRPr="00992409">
        <w:rPr>
          <w:rFonts w:ascii="Arial Narrow" w:hAnsi="Arial Narrow" w:cs="Arial Narrow"/>
          <w:b/>
          <w:color w:val="365F91" w:themeColor="accent1" w:themeShade="BF"/>
          <w:lang w:val="ro-RO"/>
        </w:rPr>
        <w:t>Inspectoratul General pentru Migrație al Ministerului Afacerilor Interne al Republicii Moldova (partener nr. 2)</w:t>
      </w:r>
      <w:r w:rsidR="00211E60">
        <w:rPr>
          <w:rFonts w:ascii="Arial Narrow" w:hAnsi="Arial Narrow" w:cs="Arial Narrow"/>
          <w:b/>
          <w:color w:val="365F91" w:themeColor="accent1" w:themeShade="BF"/>
          <w:lang w:val="ro-RO"/>
        </w:rPr>
        <w:t>,</w:t>
      </w:r>
      <w:r w:rsidRPr="001D1613">
        <w:rPr>
          <w:rFonts w:ascii="Arial Narrow" w:hAnsi="Arial Narrow"/>
          <w:color w:val="365F91" w:themeColor="accent1" w:themeShade="BF"/>
          <w:lang w:val="ro-RO"/>
        </w:rPr>
        <w:t xml:space="preserve"> precum și invitați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 din cadrul altor structuri ale</w:t>
      </w:r>
      <w:r w:rsidRPr="00603255">
        <w:rPr>
          <w:rFonts w:ascii="Arial Narrow" w:hAnsi="Arial Narrow"/>
          <w:b/>
          <w:bCs/>
          <w:color w:val="365F91" w:themeColor="accent1" w:themeShade="BF"/>
          <w:lang w:val="ro-RO"/>
        </w:rPr>
        <w:t xml:space="preserve"> </w:t>
      </w:r>
      <w:r w:rsidRPr="00234A23">
        <w:rPr>
          <w:rStyle w:val="Strong"/>
          <w:rFonts w:ascii="Arial Narrow" w:hAnsi="Arial Narrow"/>
          <w:b w:val="0"/>
          <w:color w:val="365F91" w:themeColor="accent1" w:themeShade="BF"/>
          <w:lang w:val="ro-RO"/>
        </w:rPr>
        <w:t>Ministerului Afacerilor Interne din România</w:t>
      </w:r>
      <w:r w:rsidRPr="00603255">
        <w:rPr>
          <w:rFonts w:ascii="Arial Narrow" w:hAnsi="Arial Narrow"/>
          <w:b/>
          <w:bCs/>
          <w:color w:val="365F91" w:themeColor="accent1" w:themeShade="BF"/>
          <w:lang w:val="ro-RO"/>
        </w:rPr>
        <w:t xml:space="preserve">, </w:t>
      </w:r>
      <w:r w:rsidRPr="00603255">
        <w:rPr>
          <w:rFonts w:ascii="Arial Narrow" w:hAnsi="Arial Narrow"/>
          <w:color w:val="365F91" w:themeColor="accent1" w:themeShade="BF"/>
          <w:lang w:val="ro-RO"/>
        </w:rPr>
        <w:t>implicați în domeniul cooperării polițienești și al managementului integrat al frontierei.</w:t>
      </w:r>
    </w:p>
    <w:p w14:paraId="29E0B2EC" w14:textId="77777777" w:rsidR="00603255" w:rsidRPr="00603255" w:rsidRDefault="00603255" w:rsidP="00603255">
      <w:pPr>
        <w:pStyle w:val="NormalWeb"/>
        <w:jc w:val="both"/>
        <w:rPr>
          <w:rFonts w:ascii="Arial Narrow" w:hAnsi="Arial Narrow"/>
          <w:color w:val="365F91" w:themeColor="accent1" w:themeShade="BF"/>
          <w:lang w:val="ro-RO"/>
        </w:rPr>
      </w:pPr>
      <w:r>
        <w:rPr>
          <w:rFonts w:ascii="Arial Narrow" w:hAnsi="Arial Narrow"/>
          <w:color w:val="365F91" w:themeColor="accent1" w:themeShade="BF"/>
          <w:lang w:val="ro-RO"/>
        </w:rPr>
        <w:tab/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Conferința de deschidere, desfășurată în data de </w:t>
      </w:r>
      <w:r w:rsidR="00565D91">
        <w:rPr>
          <w:rStyle w:val="Strong"/>
          <w:rFonts w:ascii="Arial Narrow" w:hAnsi="Arial Narrow"/>
          <w:color w:val="365F91" w:themeColor="accent1" w:themeShade="BF"/>
          <w:lang w:val="ro-RO"/>
        </w:rPr>
        <w:t>19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="00565D91">
        <w:rPr>
          <w:rStyle w:val="Strong"/>
          <w:rFonts w:ascii="Arial Narrow" w:hAnsi="Arial Narrow"/>
          <w:color w:val="365F91" w:themeColor="accent1" w:themeShade="BF"/>
          <w:lang w:val="ro-RO"/>
        </w:rPr>
        <w:t>noiembrie</w:t>
      </w:r>
      <w:r w:rsidR="00565D91"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2025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, a marcat lansarea oficială a proiectului și a oferit participanților prilejul de a discuta obiectivele generale și specifice ale inițiativei, rezultatele așteptate și impactul acesteia asupra consolidării cooperării transfrontaliere în combaterea </w:t>
      </w:r>
      <w:r w:rsidR="00061E59" w:rsidRPr="00E81FA9">
        <w:rPr>
          <w:rFonts w:ascii="Arial Narrow" w:hAnsi="Arial Narrow" w:cs="Arial Narrow"/>
          <w:color w:val="365F91" w:themeColor="accent1" w:themeShade="BF"/>
          <w:lang w:val="ro-RO"/>
        </w:rPr>
        <w:t>migrației ilegale</w:t>
      </w:r>
      <w:r w:rsidR="00061E59">
        <w:rPr>
          <w:rFonts w:ascii="Arial Narrow" w:hAnsi="Arial Narrow" w:cs="Arial Narrow"/>
          <w:color w:val="365F91" w:themeColor="accent1" w:themeShade="BF"/>
          <w:lang w:val="ro-RO"/>
        </w:rPr>
        <w:t xml:space="preserve">, </w:t>
      </w:r>
      <w:r w:rsidR="00061E59" w:rsidRPr="00E81FA9">
        <w:rPr>
          <w:rFonts w:ascii="Arial Narrow" w:hAnsi="Arial Narrow" w:cs="Arial Narrow"/>
          <w:color w:val="365F91" w:themeColor="accent1" w:themeShade="BF"/>
          <w:lang w:val="ro-RO"/>
        </w:rPr>
        <w:t>consolidarea capacității instituționale a autorităților de frontieră și implementarea unui sistem modern de gestionare a fluxurilor de migranți</w:t>
      </w:r>
      <w:r w:rsidRPr="00603255">
        <w:rPr>
          <w:rFonts w:ascii="Arial Narrow" w:hAnsi="Arial Narrow"/>
          <w:color w:val="365F91" w:themeColor="accent1" w:themeShade="BF"/>
          <w:lang w:val="ro-RO"/>
        </w:rPr>
        <w:t>.</w:t>
      </w:r>
      <w:r w:rsidR="00DA0554">
        <w:rPr>
          <w:rFonts w:ascii="Arial Narrow" w:hAnsi="Arial Narrow"/>
          <w:color w:val="365F91" w:themeColor="accent1" w:themeShade="BF"/>
          <w:lang w:val="ro-RO"/>
        </w:rPr>
        <w:t xml:space="preserve"> </w:t>
      </w:r>
      <w:r w:rsidR="009C3155">
        <w:rPr>
          <w:rFonts w:ascii="Arial Narrow" w:hAnsi="Arial Narrow"/>
          <w:color w:val="365F91" w:themeColor="accent1" w:themeShade="BF"/>
          <w:lang w:val="ro-RO"/>
        </w:rPr>
        <w:t xml:space="preserve"> </w:t>
      </w:r>
    </w:p>
    <w:p w14:paraId="2C3CD091" w14:textId="77777777" w:rsidR="00603255" w:rsidRPr="00603255" w:rsidRDefault="00603255" w:rsidP="00603255">
      <w:pPr>
        <w:pStyle w:val="NormalWeb"/>
        <w:jc w:val="both"/>
        <w:rPr>
          <w:rFonts w:ascii="Arial Narrow" w:hAnsi="Arial Narrow"/>
          <w:color w:val="365F91" w:themeColor="accent1" w:themeShade="BF"/>
          <w:lang w:val="ro-RO"/>
        </w:rPr>
      </w:pPr>
      <w:r>
        <w:rPr>
          <w:rFonts w:ascii="Arial Narrow" w:hAnsi="Arial Narrow"/>
          <w:color w:val="365F91" w:themeColor="accent1" w:themeShade="BF"/>
          <w:lang w:val="ro-RO"/>
        </w:rPr>
        <w:tab/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În cadrul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Comitetului director</w:t>
      </w:r>
      <w:r w:rsidR="006E6F32">
        <w:rPr>
          <w:rFonts w:ascii="Arial Narrow" w:hAnsi="Arial Narrow"/>
          <w:color w:val="365F91" w:themeColor="accent1" w:themeShade="BF"/>
          <w:lang w:val="ro-RO"/>
        </w:rPr>
        <w:t xml:space="preserve">, ce a avut loc în perioada </w:t>
      </w:r>
      <w:r w:rsidRPr="00603255">
        <w:rPr>
          <w:rFonts w:ascii="Arial Narrow" w:hAnsi="Arial Narrow"/>
          <w:color w:val="365F91" w:themeColor="accent1" w:themeShade="BF"/>
          <w:lang w:val="ro-RO"/>
        </w:rPr>
        <w:t>2</w:t>
      </w:r>
      <w:r w:rsidR="00184EAD">
        <w:rPr>
          <w:rFonts w:ascii="Arial Narrow" w:hAnsi="Arial Narrow"/>
          <w:color w:val="365F91" w:themeColor="accent1" w:themeShade="BF"/>
          <w:lang w:val="ro-RO"/>
        </w:rPr>
        <w:t>0</w:t>
      </w:r>
      <w:r w:rsidR="006E6F32">
        <w:rPr>
          <w:rFonts w:ascii="Arial Narrow" w:hAnsi="Arial Narrow"/>
          <w:color w:val="365F91" w:themeColor="accent1" w:themeShade="BF"/>
          <w:lang w:val="ro-RO"/>
        </w:rPr>
        <w:t xml:space="preserve"> </w:t>
      </w:r>
      <w:r w:rsidRPr="00603255">
        <w:rPr>
          <w:rFonts w:ascii="Arial Narrow" w:hAnsi="Arial Narrow"/>
          <w:color w:val="365F91" w:themeColor="accent1" w:themeShade="BF"/>
          <w:lang w:val="ro-RO"/>
        </w:rPr>
        <w:t>–</w:t>
      </w:r>
      <w:r w:rsidR="006E6F32">
        <w:rPr>
          <w:rFonts w:ascii="Arial Narrow" w:hAnsi="Arial Narrow"/>
          <w:color w:val="365F91" w:themeColor="accent1" w:themeShade="BF"/>
          <w:lang w:val="ro-RO"/>
        </w:rPr>
        <w:t xml:space="preserve"> 2</w:t>
      </w:r>
      <w:r w:rsidR="00184EAD">
        <w:rPr>
          <w:rFonts w:ascii="Arial Narrow" w:hAnsi="Arial Narrow"/>
          <w:color w:val="365F91" w:themeColor="accent1" w:themeShade="BF"/>
          <w:lang w:val="ro-RO"/>
        </w:rPr>
        <w:t>1</w:t>
      </w:r>
      <w:r w:rsidR="006E6F32">
        <w:rPr>
          <w:rFonts w:ascii="Arial Narrow" w:hAnsi="Arial Narrow"/>
          <w:color w:val="365F91" w:themeColor="accent1" w:themeShade="BF"/>
          <w:lang w:val="ro-RO"/>
        </w:rPr>
        <w:t xml:space="preserve"> </w:t>
      </w:r>
      <w:r w:rsidR="00184EAD">
        <w:rPr>
          <w:rFonts w:ascii="Arial Narrow" w:hAnsi="Arial Narrow"/>
          <w:color w:val="365F91" w:themeColor="accent1" w:themeShade="BF"/>
          <w:lang w:val="ro-RO"/>
        </w:rPr>
        <w:t xml:space="preserve">noiembrie </w:t>
      </w:r>
      <w:r w:rsidR="006E6F32">
        <w:rPr>
          <w:rFonts w:ascii="Arial Narrow" w:hAnsi="Arial Narrow"/>
          <w:color w:val="365F91" w:themeColor="accent1" w:themeShade="BF"/>
          <w:lang w:val="ro-RO"/>
        </w:rPr>
        <w:t>2025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, organizat la sediul </w:t>
      </w:r>
      <w:r w:rsidRPr="00603255">
        <w:rPr>
          <w:rStyle w:val="Strong"/>
          <w:rFonts w:ascii="Arial Narrow" w:hAnsi="Arial Narrow"/>
          <w:color w:val="365F91" w:themeColor="accent1" w:themeShade="BF"/>
          <w:lang w:val="ro-RO"/>
        </w:rPr>
        <w:t>Inspectoratului Teritorial al Poliției de Frontieră Iași</w:t>
      </w:r>
      <w:r w:rsidRPr="00603255">
        <w:rPr>
          <w:rFonts w:ascii="Arial Narrow" w:hAnsi="Arial Narrow"/>
          <w:b/>
          <w:bCs/>
          <w:color w:val="365F91" w:themeColor="accent1" w:themeShade="BF"/>
          <w:lang w:val="ro-RO"/>
        </w:rPr>
        <w:t xml:space="preserve">, </w:t>
      </w:r>
      <w:r w:rsidRPr="00603255">
        <w:rPr>
          <w:rFonts w:ascii="Arial Narrow" w:hAnsi="Arial Narrow"/>
          <w:color w:val="365F91" w:themeColor="accent1" w:themeShade="BF"/>
          <w:lang w:val="ro-RO"/>
        </w:rPr>
        <w:t>au fost analizate aspectele tehnice și operaționale privind implementarea proiectului: organizarea echipelor de lucru, calendarul activităților, mecanismele de raportare și coordonare între parteneri, planul de achiziții, precum și etapele de dezvoltare a planului comun de acțiune</w:t>
      </w:r>
      <w:r w:rsidRPr="00FC4E41">
        <w:rPr>
          <w:rFonts w:ascii="Arial Narrow" w:hAnsi="Arial Narrow"/>
          <w:color w:val="365F91" w:themeColor="accent1" w:themeShade="BF"/>
          <w:lang w:val="ro-RO"/>
        </w:rPr>
        <w:t xml:space="preserve"> pentru </w:t>
      </w:r>
      <w:r w:rsidR="0043403A" w:rsidRPr="00FC4E41">
        <w:rPr>
          <w:rFonts w:ascii="Arial Narrow" w:hAnsi="Arial Narrow"/>
          <w:color w:val="365F91" w:themeColor="accent1" w:themeShade="BF"/>
          <w:lang w:val="ro-RO"/>
        </w:rPr>
        <w:t>gestionarea migrației și prin desfășurarea de acțiuni comune la frontieră.</w:t>
      </w:r>
      <w:r w:rsidR="0043403A" w:rsidRPr="00FC4E41">
        <w:rPr>
          <w:rFonts w:ascii="Arial Narrow" w:hAnsi="Arial Narrow"/>
          <w:lang w:val="ro-RO"/>
        </w:rPr>
        <w:t xml:space="preserve"> </w:t>
      </w:r>
    </w:p>
    <w:p w14:paraId="341A136F" w14:textId="77777777" w:rsidR="00B95560" w:rsidRPr="0054032D" w:rsidRDefault="00603255" w:rsidP="00B95560">
      <w:pPr>
        <w:pStyle w:val="NormalWeb"/>
        <w:jc w:val="both"/>
        <w:rPr>
          <w:rFonts w:ascii="Arial Narrow" w:hAnsi="Arial Narrow"/>
          <w:bCs/>
          <w:color w:val="365F91" w:themeColor="accent1" w:themeShade="BF"/>
        </w:rPr>
      </w:pPr>
      <w:r>
        <w:rPr>
          <w:rFonts w:ascii="Arial Narrow" w:hAnsi="Arial Narrow"/>
          <w:color w:val="365F91" w:themeColor="accent1" w:themeShade="BF"/>
          <w:lang w:val="ro-RO"/>
        </w:rPr>
        <w:tab/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Proiectul </w:t>
      </w:r>
      <w:r w:rsidR="00412A94" w:rsidRPr="0014398F">
        <w:rPr>
          <w:rFonts w:ascii="Arial Narrow" w:hAnsi="Arial Narrow"/>
          <w:b/>
          <w:bCs/>
          <w:iCs/>
          <w:color w:val="365F91" w:themeColor="accent1" w:themeShade="BF"/>
          <w:lang w:val="ro-RO"/>
        </w:rPr>
        <w:t xml:space="preserve">MigraMI </w:t>
      </w:r>
      <w:r w:rsidRPr="00603255">
        <w:rPr>
          <w:rFonts w:ascii="Arial Narrow" w:hAnsi="Arial Narrow"/>
          <w:color w:val="365F91" w:themeColor="accent1" w:themeShade="BF"/>
          <w:lang w:val="ro-RO"/>
        </w:rPr>
        <w:t xml:space="preserve">are drept scop </w:t>
      </w:r>
      <w:r w:rsidR="00B95560" w:rsidRPr="00B95560">
        <w:rPr>
          <w:rFonts w:ascii="Arial Narrow" w:hAnsi="Arial Narrow"/>
          <w:b/>
          <w:bCs/>
          <w:iCs/>
          <w:color w:val="365F91" w:themeColor="accent1" w:themeShade="BF"/>
        </w:rPr>
        <w:t xml:space="preserve">consolidarea siguranței și securității </w:t>
      </w:r>
      <w:r w:rsidR="00B95560" w:rsidRPr="0054032D">
        <w:rPr>
          <w:rFonts w:ascii="Arial Narrow" w:hAnsi="Arial Narrow"/>
          <w:bCs/>
          <w:iCs/>
          <w:color w:val="365F91" w:themeColor="accent1" w:themeShade="BF"/>
        </w:rPr>
        <w:t xml:space="preserve">la frontiera comună </w:t>
      </w:r>
      <w:r w:rsidR="00B95560" w:rsidRPr="0054032D">
        <w:rPr>
          <w:rFonts w:ascii="Arial Narrow" w:hAnsi="Arial Narrow"/>
          <w:bCs/>
          <w:color w:val="365F91" w:themeColor="accent1" w:themeShade="BF"/>
        </w:rPr>
        <w:t xml:space="preserve">România – Republica Moldova, prin </w:t>
      </w:r>
      <w:r w:rsidR="00B95560" w:rsidRPr="0054032D">
        <w:rPr>
          <w:rFonts w:ascii="Arial Narrow" w:hAnsi="Arial Narrow"/>
          <w:b/>
          <w:bCs/>
          <w:color w:val="365F91" w:themeColor="accent1" w:themeShade="BF"/>
        </w:rPr>
        <w:t xml:space="preserve">reducerea </w:t>
      </w:r>
      <w:r w:rsidR="00B95560" w:rsidRPr="0054032D">
        <w:rPr>
          <w:rFonts w:ascii="Arial Narrow" w:hAnsi="Arial Narrow"/>
          <w:b/>
          <w:bCs/>
          <w:iCs/>
          <w:color w:val="365F91" w:themeColor="accent1" w:themeShade="BF"/>
        </w:rPr>
        <w:t>migrației neregulate</w:t>
      </w:r>
      <w:r w:rsidR="00B95560" w:rsidRPr="0054032D">
        <w:rPr>
          <w:rFonts w:ascii="Arial Narrow" w:hAnsi="Arial Narrow"/>
          <w:bCs/>
          <w:iCs/>
          <w:color w:val="365F91" w:themeColor="accent1" w:themeShade="BF"/>
        </w:rPr>
        <w:t xml:space="preserve"> </w:t>
      </w:r>
      <w:r w:rsidR="00B95560" w:rsidRPr="0054032D">
        <w:rPr>
          <w:rFonts w:ascii="Arial Narrow" w:hAnsi="Arial Narrow"/>
          <w:bCs/>
          <w:color w:val="365F91" w:themeColor="accent1" w:themeShade="BF"/>
        </w:rPr>
        <w:t xml:space="preserve">și a </w:t>
      </w:r>
      <w:r w:rsidR="00B95560" w:rsidRPr="0054032D">
        <w:rPr>
          <w:rFonts w:ascii="Arial Narrow" w:hAnsi="Arial Narrow"/>
          <w:bCs/>
          <w:iCs/>
          <w:color w:val="365F91" w:themeColor="accent1" w:themeShade="BF"/>
        </w:rPr>
        <w:t>criminalității transfrontaliere</w:t>
      </w:r>
      <w:r w:rsidR="00B95560" w:rsidRPr="0054032D">
        <w:rPr>
          <w:rFonts w:ascii="Arial Narrow" w:hAnsi="Arial Narrow"/>
          <w:bCs/>
          <w:color w:val="365F91" w:themeColor="accent1" w:themeShade="BF"/>
        </w:rPr>
        <w:t xml:space="preserve">, precum și prin </w:t>
      </w:r>
      <w:r w:rsidR="00B95560" w:rsidRPr="0054032D">
        <w:rPr>
          <w:rFonts w:ascii="Arial Narrow" w:hAnsi="Arial Narrow"/>
          <w:bCs/>
          <w:iCs/>
          <w:color w:val="365F91" w:themeColor="accent1" w:themeShade="BF"/>
        </w:rPr>
        <w:t xml:space="preserve">întărirea capacității instituționale </w:t>
      </w:r>
      <w:r w:rsidR="00B95560" w:rsidRPr="0054032D">
        <w:rPr>
          <w:rFonts w:ascii="Arial Narrow" w:hAnsi="Arial Narrow"/>
          <w:bCs/>
          <w:color w:val="365F91" w:themeColor="accent1" w:themeShade="BF"/>
        </w:rPr>
        <w:t xml:space="preserve">a autorităților implicate în gestionarea frontierei și a </w:t>
      </w:r>
      <w:r w:rsidR="00B95560" w:rsidRPr="0054032D">
        <w:rPr>
          <w:rFonts w:ascii="Arial Narrow" w:hAnsi="Arial Narrow"/>
          <w:b/>
          <w:bCs/>
          <w:color w:val="365F91" w:themeColor="accent1" w:themeShade="BF"/>
        </w:rPr>
        <w:t>domeniului migrației</w:t>
      </w:r>
      <w:r w:rsidR="00B95560" w:rsidRPr="0054032D">
        <w:rPr>
          <w:rFonts w:ascii="Arial Narrow" w:hAnsi="Arial Narrow"/>
          <w:bCs/>
          <w:color w:val="365F91" w:themeColor="accent1" w:themeShade="BF"/>
        </w:rPr>
        <w:t xml:space="preserve">. </w:t>
      </w:r>
      <w:r w:rsidR="00ED4492" w:rsidRPr="00ED4492">
        <w:rPr>
          <w:rFonts w:ascii="Arial Narrow" w:hAnsi="Arial Narrow"/>
          <w:bCs/>
          <w:color w:val="365F91" w:themeColor="accent1" w:themeShade="BF"/>
        </w:rPr>
        <w:t xml:space="preserve">Proiectul urmărește să asigure o </w:t>
      </w:r>
      <w:r w:rsidR="00ED4492" w:rsidRPr="00DE75E0">
        <w:rPr>
          <w:rFonts w:ascii="Arial Narrow" w:hAnsi="Arial Narrow"/>
          <w:b/>
          <w:bCs/>
          <w:color w:val="365F91" w:themeColor="accent1" w:themeShade="BF"/>
        </w:rPr>
        <w:t>reacție coordonată</w:t>
      </w:r>
      <w:r w:rsidR="00ED4492" w:rsidRPr="00ED4492">
        <w:rPr>
          <w:rFonts w:ascii="Arial Narrow" w:hAnsi="Arial Narrow"/>
          <w:bCs/>
          <w:color w:val="365F91" w:themeColor="accent1" w:themeShade="BF"/>
        </w:rPr>
        <w:t xml:space="preserve"> și </w:t>
      </w:r>
      <w:r w:rsidR="00ED4492" w:rsidRPr="00DE75E0">
        <w:rPr>
          <w:rFonts w:ascii="Arial Narrow" w:hAnsi="Arial Narrow"/>
          <w:b/>
          <w:bCs/>
          <w:color w:val="365F91" w:themeColor="accent1" w:themeShade="BF"/>
        </w:rPr>
        <w:t>eficientă</w:t>
      </w:r>
      <w:r w:rsidR="00ED4492" w:rsidRPr="00ED4492">
        <w:rPr>
          <w:rFonts w:ascii="Arial Narrow" w:hAnsi="Arial Narrow"/>
          <w:bCs/>
          <w:color w:val="365F91" w:themeColor="accent1" w:themeShade="BF"/>
        </w:rPr>
        <w:t xml:space="preserve"> în situații de </w:t>
      </w:r>
      <w:r w:rsidR="00ED4492" w:rsidRPr="00DE75E0">
        <w:rPr>
          <w:rFonts w:ascii="Arial Narrow" w:hAnsi="Arial Narrow"/>
          <w:b/>
          <w:bCs/>
          <w:color w:val="365F91" w:themeColor="accent1" w:themeShade="BF"/>
        </w:rPr>
        <w:t xml:space="preserve">aflux masiv de migranți </w:t>
      </w:r>
      <w:r w:rsidR="00ED4492" w:rsidRPr="00ED4492">
        <w:rPr>
          <w:rFonts w:ascii="Arial Narrow" w:hAnsi="Arial Narrow"/>
          <w:bCs/>
          <w:color w:val="365F91" w:themeColor="accent1" w:themeShade="BF"/>
        </w:rPr>
        <w:t xml:space="preserve">și să faciliteze implementarea unor </w:t>
      </w:r>
      <w:r w:rsidR="00ED4492" w:rsidRPr="00DE75E0">
        <w:rPr>
          <w:rFonts w:ascii="Arial Narrow" w:hAnsi="Arial Narrow"/>
          <w:b/>
          <w:bCs/>
          <w:color w:val="365F91" w:themeColor="accent1" w:themeShade="BF"/>
        </w:rPr>
        <w:t>proceduri comune</w:t>
      </w:r>
      <w:r w:rsidR="00ED4492" w:rsidRPr="00ED4492">
        <w:rPr>
          <w:rFonts w:ascii="Arial Narrow" w:hAnsi="Arial Narrow"/>
          <w:bCs/>
          <w:color w:val="365F91" w:themeColor="accent1" w:themeShade="BF"/>
        </w:rPr>
        <w:t xml:space="preserve"> care să permită verificarea rapidă și corectă a persoanelor, în conformitate cu legislația în vigoare, minimizând în același timp disconfortul acestora.</w:t>
      </w:r>
    </w:p>
    <w:p w14:paraId="67684B1C" w14:textId="77777777" w:rsidR="00603255" w:rsidRPr="00603255" w:rsidRDefault="00603255" w:rsidP="00603255">
      <w:pPr>
        <w:pStyle w:val="NormalWeb"/>
        <w:jc w:val="both"/>
        <w:rPr>
          <w:rFonts w:ascii="Arial Narrow" w:hAnsi="Arial Narrow"/>
          <w:color w:val="365F91" w:themeColor="accent1" w:themeShade="BF"/>
          <w:lang w:val="ro-RO"/>
        </w:rPr>
      </w:pPr>
      <w:r w:rsidRPr="00603255">
        <w:rPr>
          <w:rFonts w:ascii="Arial Narrow" w:hAnsi="Arial Narrow"/>
          <w:color w:val="365F91" w:themeColor="accent1" w:themeShade="BF"/>
          <w:lang w:val="ro-RO"/>
        </w:rPr>
        <w:lastRenderedPageBreak/>
        <w:t>.</w:t>
      </w:r>
    </w:p>
    <w:p w14:paraId="27165D72" w14:textId="77777777" w:rsidR="0032649B" w:rsidRDefault="0032649B" w:rsidP="0032649B">
      <w:pPr>
        <w:spacing w:line="276" w:lineRule="auto"/>
        <w:ind w:firstLine="567"/>
        <w:jc w:val="both"/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</w:pP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Proiectul </w:t>
      </w:r>
      <w:r w:rsidRPr="00B1379A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are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un </w:t>
      </w:r>
      <w:r w:rsidRPr="00F471C4"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 xml:space="preserve">buget total de </w:t>
      </w:r>
      <w:r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>657</w:t>
      </w:r>
      <w:r w:rsidRPr="00F471C4"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>130</w:t>
      </w:r>
      <w:r w:rsidRPr="00F471C4"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>,</w:t>
      </w:r>
      <w:r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>12</w:t>
      </w:r>
      <w:r w:rsidRPr="00F471C4">
        <w:rPr>
          <w:rFonts w:ascii="Arial Narrow" w:hAnsi="Arial Narrow" w:cs="Arial Narrow"/>
          <w:b/>
          <w:color w:val="365F91" w:themeColor="accent1" w:themeShade="BF"/>
          <w:sz w:val="24"/>
          <w:szCs w:val="24"/>
          <w:lang w:val="ro-RO"/>
        </w:rPr>
        <w:t xml:space="preserve"> Euro, 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din care 5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91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417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,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09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E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uro finanțare externă nerambursabilă (90%) și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65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713,03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E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uro contribuție proprie a partenerilor (10%).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Inspectoratul Teritorial al Poliţiei de Frontieră Iaşi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va gestiona un buget de</w:t>
      </w:r>
      <w:r w:rsidRPr="00B83047">
        <w:t xml:space="preserve">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292.951,23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Euro, din care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263.656,10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Euro finanțare externă nerambursabilă și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29.295,13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Euro cofinanțare națională.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Inspectoratul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General al Poliției de Frontieră al Ministerului Afacerilor Interne al Republicii Moldova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va gestiona un buget de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273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515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,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13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E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uro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,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din care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246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161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,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61 E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uro finanțare externă nerambursabilă și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27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351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,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13</w:t>
      </w:r>
      <w:r w:rsidRPr="00F471C4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Euro cofinanțare națională.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Inspectoratul General pentru Migrație al Ministerului Afacerilor Interne al Republicii Moldova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 xml:space="preserve"> </w:t>
      </w:r>
      <w:r w:rsidRPr="00B83047"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va gestiona un buget de 90.663,76 Euro, din care 81.597,38 Euro finanțare externă nerambursabilă și 9.066,38 Euro cofinanțare națională</w:t>
      </w:r>
      <w:r>
        <w:rPr>
          <w:rFonts w:ascii="Arial Narrow" w:hAnsi="Arial Narrow" w:cs="Arial Narrow"/>
          <w:color w:val="365F91" w:themeColor="accent1" w:themeShade="BF"/>
          <w:sz w:val="24"/>
          <w:szCs w:val="24"/>
          <w:lang w:val="ro-RO"/>
        </w:rPr>
        <w:t>.</w:t>
      </w:r>
    </w:p>
    <w:p w14:paraId="200BA3F3" w14:textId="77777777" w:rsidR="006D400E" w:rsidRPr="00B81F3F" w:rsidRDefault="006D400E" w:rsidP="0032649B">
      <w:pPr>
        <w:spacing w:line="276" w:lineRule="auto"/>
        <w:ind w:firstLine="567"/>
        <w:jc w:val="both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</w:p>
    <w:p w14:paraId="799D6A54" w14:textId="77777777" w:rsidR="00091F37" w:rsidRDefault="0085145B" w:rsidP="00F03B11">
      <w:pPr>
        <w:spacing w:line="276" w:lineRule="auto"/>
        <w:ind w:left="-180"/>
        <w:jc w:val="center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  <w:r>
        <w:rPr>
          <w:rFonts w:ascii="Arial Narrow" w:hAnsi="Arial Narrow" w:cs="Arial Narrow"/>
          <w:noProof/>
          <w:color w:val="365F91" w:themeColor="accent1" w:themeShade="BF"/>
          <w:sz w:val="24"/>
          <w:szCs w:val="24"/>
          <w:lang w:eastAsia="en-US"/>
        </w:rPr>
        <w:drawing>
          <wp:inline distT="0" distB="0" distL="0" distR="0" wp14:anchorId="27614BED" wp14:editId="5AAA77FF">
            <wp:extent cx="6097270" cy="2019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2019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27051C8B" w14:textId="77777777" w:rsidR="002D57ED" w:rsidRDefault="002D57ED" w:rsidP="00F03B11">
      <w:pPr>
        <w:spacing w:line="276" w:lineRule="auto"/>
        <w:ind w:left="-180"/>
        <w:jc w:val="center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</w:p>
    <w:p w14:paraId="0A24B613" w14:textId="77777777" w:rsidR="00B74871" w:rsidRDefault="008C5798" w:rsidP="008C5798">
      <w:pPr>
        <w:spacing w:line="276" w:lineRule="auto"/>
        <w:jc w:val="both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  <w:r>
        <w:rPr>
          <w:rFonts w:ascii="Arial Narrow" w:hAnsi="Arial Narrow" w:cs="Arial Narrow"/>
          <w:noProof/>
          <w:color w:val="365F91" w:themeColor="accent1" w:themeShade="BF"/>
          <w:sz w:val="24"/>
          <w:szCs w:val="24"/>
          <w:lang w:eastAsia="en-US"/>
        </w:rPr>
        <w:drawing>
          <wp:inline distT="0" distB="0" distL="0" distR="0" wp14:anchorId="58CA549E" wp14:editId="651D0936">
            <wp:extent cx="6097270" cy="182943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18294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D69A582" w14:textId="77777777" w:rsidR="0040796F" w:rsidRDefault="0040796F" w:rsidP="00A76A06">
      <w:pPr>
        <w:spacing w:line="276" w:lineRule="auto"/>
        <w:ind w:firstLine="567"/>
        <w:jc w:val="both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</w:p>
    <w:p w14:paraId="18FF4552" w14:textId="77777777" w:rsidR="0085145B" w:rsidRPr="00527A6B" w:rsidRDefault="0040796F" w:rsidP="0040796F">
      <w:pPr>
        <w:spacing w:line="276" w:lineRule="auto"/>
        <w:jc w:val="both"/>
        <w:rPr>
          <w:rFonts w:ascii="Arial Narrow" w:hAnsi="Arial Narrow" w:cs="Arial Narrow"/>
          <w:color w:val="365F91" w:themeColor="accent1" w:themeShade="BF"/>
          <w:sz w:val="24"/>
          <w:szCs w:val="24"/>
        </w:rPr>
      </w:pPr>
      <w:r>
        <w:rPr>
          <w:rFonts w:ascii="Arial Narrow" w:hAnsi="Arial Narrow" w:cs="Arial Narrow"/>
          <w:noProof/>
          <w:color w:val="365F91" w:themeColor="accent1" w:themeShade="BF"/>
          <w:sz w:val="24"/>
          <w:szCs w:val="24"/>
          <w:lang w:eastAsia="en-US"/>
        </w:rPr>
        <w:lastRenderedPageBreak/>
        <w:drawing>
          <wp:inline distT="0" distB="0" distL="0" distR="0" wp14:anchorId="25F75853" wp14:editId="1D043DB9">
            <wp:extent cx="6097270" cy="212153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7270" cy="21215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14130D25" w14:textId="77777777" w:rsidR="00C12013" w:rsidRDefault="00C12013" w:rsidP="00A76A06">
      <w:pPr>
        <w:spacing w:line="276" w:lineRule="auto"/>
        <w:jc w:val="center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</w:p>
    <w:p w14:paraId="39EBFA51" w14:textId="77777777" w:rsidR="00104D90" w:rsidRDefault="001D4665" w:rsidP="00A76A06">
      <w:pPr>
        <w:spacing w:line="276" w:lineRule="auto"/>
        <w:jc w:val="center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  <w:r w:rsidRPr="002925D0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Conținutul acestui material este responsabilitatea exclusivă a proiectului: </w:t>
      </w:r>
      <w:r w:rsidR="00D54A45" w:rsidRPr="00D54A45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>MigraMI – Migrants management enhance initiative - ROMD00167</w:t>
      </w:r>
      <w:r w:rsidR="00D54A45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 </w:t>
      </w:r>
      <w:r w:rsidRPr="002925D0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>și nu reflectă în mod obligatoriu poziția oficială a Uniunii Europene sau a structurilor de management ale Programului Interreg NEXT România-Republica Moldova.</w:t>
      </w:r>
    </w:p>
    <w:p w14:paraId="2CEEBFE8" w14:textId="77777777" w:rsidR="00842B05" w:rsidRDefault="00842B05" w:rsidP="00A76A06">
      <w:pPr>
        <w:spacing w:line="276" w:lineRule="auto"/>
        <w:jc w:val="center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</w:p>
    <w:p w14:paraId="5E44EFE3" w14:textId="77777777" w:rsidR="00971826" w:rsidRPr="004107BB" w:rsidRDefault="00971826" w:rsidP="00971826">
      <w:pPr>
        <w:spacing w:line="276" w:lineRule="auto"/>
        <w:jc w:val="center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  <w:r w:rsidRPr="004107BB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>Programul Interreg VI-A NEXT România – Republica Moldova 2021 – 2027 este finanțat de Uniunea Europeană și co-finanțat de statele participante în program.</w:t>
      </w:r>
    </w:p>
    <w:p w14:paraId="15B3B1AE" w14:textId="77777777" w:rsidR="00B74871" w:rsidRDefault="00B74871" w:rsidP="00544DCC">
      <w:pPr>
        <w:spacing w:after="0" w:line="360" w:lineRule="auto"/>
        <w:jc w:val="right"/>
        <w:rPr>
          <w:rFonts w:ascii="Arial Narrow" w:hAnsi="Arial Narrow"/>
          <w:b/>
          <w:color w:val="365F91" w:themeColor="accent1" w:themeShade="BF"/>
          <w:sz w:val="24"/>
          <w:szCs w:val="24"/>
          <w:lang w:val="ro-RO"/>
        </w:rPr>
      </w:pPr>
    </w:p>
    <w:p w14:paraId="29B42E5D" w14:textId="77777777" w:rsidR="00134589" w:rsidRDefault="00134589" w:rsidP="00544DCC">
      <w:pPr>
        <w:spacing w:after="0" w:line="360" w:lineRule="auto"/>
        <w:jc w:val="right"/>
        <w:rPr>
          <w:rFonts w:ascii="Arial Narrow" w:hAnsi="Arial Narrow"/>
          <w:b/>
          <w:color w:val="365F91" w:themeColor="accent1" w:themeShade="BF"/>
          <w:sz w:val="24"/>
          <w:szCs w:val="24"/>
          <w:lang w:val="ro-RO"/>
        </w:rPr>
      </w:pPr>
    </w:p>
    <w:p w14:paraId="00636A93" w14:textId="77777777" w:rsidR="00BF2779" w:rsidRDefault="00BF2779" w:rsidP="00544DCC">
      <w:pPr>
        <w:spacing w:after="0" w:line="360" w:lineRule="auto"/>
        <w:jc w:val="right"/>
        <w:rPr>
          <w:rFonts w:ascii="Arial Narrow" w:hAnsi="Arial Narrow"/>
          <w:b/>
          <w:color w:val="365F91" w:themeColor="accent1" w:themeShade="BF"/>
          <w:sz w:val="24"/>
          <w:szCs w:val="24"/>
          <w:lang w:val="ro-RO"/>
        </w:rPr>
      </w:pPr>
      <w:r w:rsidRPr="00BF2779">
        <w:rPr>
          <w:rFonts w:ascii="Arial Narrow" w:hAnsi="Arial Narrow"/>
          <w:b/>
          <w:color w:val="365F91" w:themeColor="accent1" w:themeShade="BF"/>
          <w:sz w:val="24"/>
          <w:szCs w:val="24"/>
          <w:lang w:val="ro-RO"/>
        </w:rPr>
        <w:t>Informații suplimentare pot fi obținute de la persoana de contact:</w:t>
      </w:r>
    </w:p>
    <w:p w14:paraId="50713575" w14:textId="77777777" w:rsidR="00DE09F3" w:rsidRPr="00DE09F3" w:rsidRDefault="00DE09F3" w:rsidP="00DE09F3">
      <w:pPr>
        <w:spacing w:after="0" w:line="360" w:lineRule="auto"/>
        <w:jc w:val="right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  <w:r w:rsidRPr="00DE09F3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Inspector superior Oxana Rusu – ofițer implementare proiect </w:t>
      </w:r>
    </w:p>
    <w:p w14:paraId="39E7F734" w14:textId="10E6F143" w:rsidR="00591DDE" w:rsidRDefault="00DE09F3" w:rsidP="00DE09F3">
      <w:pPr>
        <w:spacing w:after="0" w:line="360" w:lineRule="auto"/>
        <w:jc w:val="right"/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</w:pPr>
      <w:r w:rsidRPr="00DE09F3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Email: </w:t>
      </w:r>
      <w:hyperlink r:id="rId10" w:history="1">
        <w:r w:rsidR="00591DDE" w:rsidRPr="00DE015E">
          <w:rPr>
            <w:rStyle w:val="Hyperlink"/>
            <w:rFonts w:ascii="Arial Narrow" w:hAnsi="Arial Narrow"/>
            <w:i/>
            <w:sz w:val="24"/>
            <w:szCs w:val="24"/>
            <w:lang w:val="ro-RO"/>
          </w:rPr>
          <w:t>migratie@mai.gov.md</w:t>
        </w:r>
      </w:hyperlink>
      <w:r w:rsidR="00591DDE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 </w:t>
      </w:r>
      <w:r w:rsidRPr="00DE09F3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 xml:space="preserve">/ </w:t>
      </w:r>
      <w:hyperlink r:id="rId11" w:history="1">
        <w:r w:rsidR="00591DDE" w:rsidRPr="00DE015E">
          <w:rPr>
            <w:rStyle w:val="Hyperlink"/>
            <w:rFonts w:ascii="Arial Narrow" w:hAnsi="Arial Narrow"/>
            <w:i/>
            <w:sz w:val="24"/>
            <w:szCs w:val="24"/>
            <w:lang w:val="ro-RO"/>
          </w:rPr>
          <w:t>oxana.rusu@igm.gov.md</w:t>
        </w:r>
      </w:hyperlink>
    </w:p>
    <w:p w14:paraId="7983E253" w14:textId="4159C5A1" w:rsidR="00134589" w:rsidRDefault="00DE09F3" w:rsidP="00DE09F3">
      <w:pPr>
        <w:spacing w:after="0" w:line="360" w:lineRule="auto"/>
        <w:jc w:val="right"/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</w:pPr>
      <w:r w:rsidRPr="00DE09F3">
        <w:rPr>
          <w:rFonts w:ascii="Arial Narrow" w:hAnsi="Arial Narrow"/>
          <w:i/>
          <w:color w:val="365F91" w:themeColor="accent1" w:themeShade="BF"/>
          <w:sz w:val="24"/>
          <w:szCs w:val="24"/>
          <w:lang w:val="ro-RO"/>
        </w:rPr>
        <w:t>Mobil: (+373) 687 47 113.</w:t>
      </w:r>
    </w:p>
    <w:p w14:paraId="538E70BA" w14:textId="77777777" w:rsidR="00682C4C" w:rsidRDefault="00682C4C" w:rsidP="000B187A">
      <w:pPr>
        <w:spacing w:after="0" w:line="360" w:lineRule="auto"/>
        <w:jc w:val="right"/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</w:pPr>
    </w:p>
    <w:p w14:paraId="1A87830A" w14:textId="77777777" w:rsidR="0021685D" w:rsidRDefault="00E3751D" w:rsidP="000B187A">
      <w:pPr>
        <w:spacing w:after="0" w:line="360" w:lineRule="auto"/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</w:pPr>
      <w:r w:rsidRPr="00E3751D">
        <w:rPr>
          <w:rFonts w:ascii="Arial Narrow" w:hAnsi="Arial Narrow"/>
          <w:b/>
          <w:color w:val="365F91" w:themeColor="accent1" w:themeShade="BF"/>
          <w:sz w:val="24"/>
          <w:szCs w:val="24"/>
          <w:lang w:val="ro-RO"/>
        </w:rPr>
        <w:t>Data publicării:</w:t>
      </w:r>
      <w:r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 xml:space="preserve"> </w:t>
      </w:r>
      <w:r w:rsidR="00D159BE"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>2</w:t>
      </w:r>
      <w:r w:rsidR="00636B5B"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>4</w:t>
      </w:r>
      <w:r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 xml:space="preserve"> </w:t>
      </w:r>
      <w:r w:rsidR="00D159BE"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 xml:space="preserve">noiembrie </w:t>
      </w:r>
      <w:r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>2025.</w:t>
      </w:r>
    </w:p>
    <w:p w14:paraId="5BBAC696" w14:textId="77777777" w:rsidR="007507A2" w:rsidRDefault="00D75306" w:rsidP="00134589">
      <w:pPr>
        <w:spacing w:line="276" w:lineRule="auto"/>
        <w:jc w:val="right"/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</w:pPr>
      <w:r>
        <w:rPr>
          <w:rFonts w:ascii="Arial Narrow" w:hAnsi="Arial Narrow"/>
          <w:color w:val="365F91" w:themeColor="accent1" w:themeShade="BF"/>
          <w:sz w:val="24"/>
          <w:szCs w:val="24"/>
          <w:lang w:val="ro-RO"/>
        </w:rPr>
        <w:t>Sfârșit.</w:t>
      </w:r>
    </w:p>
    <w:sectPr w:rsidR="007507A2" w:rsidSect="00252E57">
      <w:headerReference w:type="default" r:id="rId12"/>
      <w:footerReference w:type="default" r:id="rId13"/>
      <w:pgSz w:w="11906" w:h="16838" w:code="9"/>
      <w:pgMar w:top="576" w:right="864" w:bottom="576" w:left="1440" w:header="44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9160" w14:textId="77777777" w:rsidR="004E7E01" w:rsidRDefault="004E7E01" w:rsidP="00104D90">
      <w:pPr>
        <w:spacing w:after="0" w:line="240" w:lineRule="auto"/>
      </w:pPr>
      <w:r>
        <w:separator/>
      </w:r>
    </w:p>
  </w:endnote>
  <w:endnote w:type="continuationSeparator" w:id="0">
    <w:p w14:paraId="137C054C" w14:textId="77777777" w:rsidR="004E7E01" w:rsidRDefault="004E7E01" w:rsidP="00104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4500"/>
      <w:gridCol w:w="2600"/>
    </w:tblGrid>
    <w:tr w:rsidR="005D7C61" w14:paraId="1FD70E07" w14:textId="77777777" w:rsidTr="002F0249">
      <w:tc>
        <w:tcPr>
          <w:tcW w:w="2718" w:type="dxa"/>
          <w:vAlign w:val="center"/>
        </w:tcPr>
        <w:p w14:paraId="2A971844" w14:textId="77777777" w:rsidR="005D7C61" w:rsidRDefault="00867DBE" w:rsidP="005D7C61">
          <w:pPr>
            <w:jc w:val="center"/>
            <w:rPr>
              <w:rFonts w:ascii="Arial Narrow" w:hAnsi="Arial Narrow" w:cs="Arial Narrow"/>
              <w:b/>
              <w:bCs/>
              <w:color w:val="003F85"/>
              <w:sz w:val="16"/>
              <w:szCs w:val="16"/>
              <w:lang w:val="ro-RO"/>
            </w:rPr>
          </w:pPr>
          <w:r>
            <w:rPr>
              <w:rFonts w:ascii="Arial Narrow" w:hAnsi="Arial Narrow" w:cs="Arial Narrow"/>
              <w:b/>
              <w:bCs/>
              <w:noProof/>
              <w:color w:val="003F85"/>
              <w:sz w:val="16"/>
              <w:szCs w:val="16"/>
              <w:lang w:eastAsia="en-US"/>
            </w:rPr>
            <w:drawing>
              <wp:inline distT="0" distB="0" distL="0" distR="0" wp14:anchorId="5DD03DC0" wp14:editId="18DDDF72">
                <wp:extent cx="595223" cy="839166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igla_mare PF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779" cy="839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14:paraId="018AA254" w14:textId="77777777" w:rsidR="005D7C61" w:rsidRDefault="003B4868" w:rsidP="002F0249">
          <w:pPr>
            <w:spacing w:line="276" w:lineRule="auto"/>
            <w:jc w:val="center"/>
            <w:rPr>
              <w:rFonts w:ascii="Arial Narrow" w:hAnsi="Arial Narrow" w:cs="Arial Narrow"/>
              <w:b/>
              <w:bCs/>
              <w:color w:val="003F85"/>
              <w:sz w:val="16"/>
              <w:szCs w:val="16"/>
              <w:lang w:val="ro-RO"/>
            </w:rPr>
          </w:pPr>
          <w:r w:rsidRPr="003B4868">
            <w:rPr>
              <w:rFonts w:ascii="Arial Narrow" w:hAnsi="Arial Narrow" w:cs="Arial Narrow"/>
              <w:b/>
              <w:bCs/>
              <w:noProof/>
              <w:color w:val="003F85"/>
              <w:sz w:val="14"/>
              <w:szCs w:val="16"/>
              <w:lang w:eastAsia="en-US"/>
            </w:rPr>
            <w:drawing>
              <wp:inline distT="0" distB="0" distL="0" distR="0" wp14:anchorId="12D1D316" wp14:editId="169BAF16">
                <wp:extent cx="757140" cy="904875"/>
                <wp:effectExtent l="0" t="0" r="508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gpf MD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545" cy="911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0" w:type="dxa"/>
          <w:vAlign w:val="center"/>
        </w:tcPr>
        <w:p w14:paraId="3E8217C7" w14:textId="77777777" w:rsidR="002F0249" w:rsidRDefault="003B4868" w:rsidP="002F0249">
          <w:pPr>
            <w:jc w:val="center"/>
            <w:rPr>
              <w:rFonts w:ascii="Arial Narrow" w:hAnsi="Arial Narrow" w:cs="Arial Narrow"/>
              <w:b/>
              <w:bCs/>
              <w:color w:val="003F85"/>
              <w:sz w:val="16"/>
              <w:szCs w:val="16"/>
              <w:lang w:val="ro-RO"/>
            </w:rPr>
          </w:pPr>
          <w:r>
            <w:rPr>
              <w:rFonts w:ascii="Arial Narrow" w:hAnsi="Arial Narrow" w:cs="Arial Narrow"/>
              <w:b/>
              <w:bCs/>
              <w:noProof/>
              <w:color w:val="003F85"/>
              <w:sz w:val="16"/>
              <w:szCs w:val="16"/>
              <w:lang w:eastAsia="en-US"/>
            </w:rPr>
            <w:drawing>
              <wp:inline distT="0" distB="0" distL="0" distR="0" wp14:anchorId="6D98AC64" wp14:editId="151A6A86">
                <wp:extent cx="1117600" cy="1117600"/>
                <wp:effectExtent l="0" t="0" r="0" b="0"/>
                <wp:docPr id="2" name="Рисунок 2" descr="d:\Users\maxim.malcov\Desktop\cropped-Stema_IGM_Color-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ers\maxim.malcov\Desktop\cropped-Stema_IGM_Color-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1" cy="111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841F498" w14:textId="77777777" w:rsidR="002F0249" w:rsidRDefault="002F0249" w:rsidP="003B4868">
    <w:pPr>
      <w:jc w:val="center"/>
      <w:rPr>
        <w:rFonts w:ascii="Arial Narrow" w:hAnsi="Arial Narrow" w:cs="Arial Narrow"/>
        <w:b/>
        <w:bCs/>
        <w:color w:val="003F85"/>
        <w:sz w:val="16"/>
        <w:szCs w:val="16"/>
        <w:lang w:val="ro-RO"/>
      </w:rPr>
    </w:pPr>
    <w:r w:rsidRPr="003B4868">
      <w:rPr>
        <w:rFonts w:ascii="Arial Narrow" w:hAnsi="Arial Narrow"/>
        <w:color w:val="365F91" w:themeColor="accent1" w:themeShade="BF"/>
        <w:szCs w:val="24"/>
        <w:lang w:val="ro-RO"/>
      </w:rPr>
      <w:t>www.ro-md.net</w:t>
    </w:r>
  </w:p>
  <w:p w14:paraId="35511AB9" w14:textId="77777777" w:rsidR="00254126" w:rsidRDefault="003B4868" w:rsidP="003B4868">
    <w:pPr>
      <w:jc w:val="center"/>
      <w:rPr>
        <w:rFonts w:ascii="Arial Narrow" w:hAnsi="Arial Narrow" w:cs="Arial Narrow"/>
        <w:b/>
        <w:bCs/>
        <w:color w:val="003F85"/>
        <w:sz w:val="16"/>
        <w:szCs w:val="16"/>
        <w:lang w:val="ro-RO"/>
      </w:rPr>
    </w:pPr>
    <w:r w:rsidRPr="001A4803">
      <w:rPr>
        <w:rFonts w:ascii="Arial Narrow" w:hAnsi="Arial Narrow" w:cs="Arial Narrow"/>
        <w:b/>
        <w:bCs/>
        <w:color w:val="003F85"/>
        <w:sz w:val="16"/>
        <w:szCs w:val="16"/>
        <w:lang w:val="ro-RO"/>
      </w:rPr>
      <w:t>MigraMI – Migrants management enhance initiative - ROMD00167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77D16" w14:textId="77777777" w:rsidR="004E7E01" w:rsidRDefault="004E7E01" w:rsidP="00104D90">
      <w:pPr>
        <w:spacing w:after="0" w:line="240" w:lineRule="auto"/>
      </w:pPr>
      <w:r>
        <w:separator/>
      </w:r>
    </w:p>
  </w:footnote>
  <w:footnote w:type="continuationSeparator" w:id="0">
    <w:p w14:paraId="315FE528" w14:textId="77777777" w:rsidR="004E7E01" w:rsidRDefault="004E7E01" w:rsidP="00104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AD69A" w14:textId="77777777" w:rsidR="00104D90" w:rsidRDefault="00104D90" w:rsidP="00AC74D8">
    <w:pPr>
      <w:pStyle w:val="Header"/>
      <w:jc w:val="center"/>
    </w:pPr>
    <w:r>
      <w:rPr>
        <w:rFonts w:ascii="Arial Narrow" w:hAnsi="Arial Narrow" w:cs="Arial Narrow"/>
        <w:b/>
        <w:bCs/>
        <w:noProof/>
        <w:color w:val="003F85"/>
        <w:sz w:val="48"/>
        <w:szCs w:val="48"/>
        <w:lang w:eastAsia="en-US"/>
      </w:rPr>
      <w:drawing>
        <wp:inline distT="0" distB="0" distL="0" distR="0" wp14:anchorId="36A74A55" wp14:editId="4ADB6576">
          <wp:extent cx="3919993" cy="118235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rreg Logo NEXT Romania - Republica Moldova Pantone Colo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7506" cy="118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77D1"/>
    <w:multiLevelType w:val="hybridMultilevel"/>
    <w:tmpl w:val="C4F0A3D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4D90"/>
    <w:rsid w:val="0000613F"/>
    <w:rsid w:val="00024BFF"/>
    <w:rsid w:val="000319CD"/>
    <w:rsid w:val="00051120"/>
    <w:rsid w:val="00061E59"/>
    <w:rsid w:val="00080DF4"/>
    <w:rsid w:val="00083D61"/>
    <w:rsid w:val="00084BE5"/>
    <w:rsid w:val="00091F37"/>
    <w:rsid w:val="000B187A"/>
    <w:rsid w:val="000B7FB0"/>
    <w:rsid w:val="000D166B"/>
    <w:rsid w:val="000E0111"/>
    <w:rsid w:val="000F16BB"/>
    <w:rsid w:val="00104D90"/>
    <w:rsid w:val="00134589"/>
    <w:rsid w:val="00136120"/>
    <w:rsid w:val="0014398F"/>
    <w:rsid w:val="00144952"/>
    <w:rsid w:val="0014592E"/>
    <w:rsid w:val="00152A65"/>
    <w:rsid w:val="00175E70"/>
    <w:rsid w:val="00177374"/>
    <w:rsid w:val="00184EAD"/>
    <w:rsid w:val="0018781C"/>
    <w:rsid w:val="0019043A"/>
    <w:rsid w:val="001A4B90"/>
    <w:rsid w:val="001A742B"/>
    <w:rsid w:val="001B03F4"/>
    <w:rsid w:val="001C387D"/>
    <w:rsid w:val="001D1613"/>
    <w:rsid w:val="001D4665"/>
    <w:rsid w:val="001D79FB"/>
    <w:rsid w:val="001E04E6"/>
    <w:rsid w:val="001E42C0"/>
    <w:rsid w:val="001E49A2"/>
    <w:rsid w:val="001E4C20"/>
    <w:rsid w:val="00207D35"/>
    <w:rsid w:val="002117B9"/>
    <w:rsid w:val="00211E60"/>
    <w:rsid w:val="0021685D"/>
    <w:rsid w:val="00226FB3"/>
    <w:rsid w:val="00233C41"/>
    <w:rsid w:val="00234A23"/>
    <w:rsid w:val="00245056"/>
    <w:rsid w:val="00252E57"/>
    <w:rsid w:val="00254126"/>
    <w:rsid w:val="002925D0"/>
    <w:rsid w:val="00297409"/>
    <w:rsid w:val="002C1DF5"/>
    <w:rsid w:val="002D57ED"/>
    <w:rsid w:val="002F0249"/>
    <w:rsid w:val="00302E88"/>
    <w:rsid w:val="00305291"/>
    <w:rsid w:val="0032649B"/>
    <w:rsid w:val="00327B2A"/>
    <w:rsid w:val="0033590F"/>
    <w:rsid w:val="0034123C"/>
    <w:rsid w:val="0035168B"/>
    <w:rsid w:val="00353A32"/>
    <w:rsid w:val="003815BA"/>
    <w:rsid w:val="0038607E"/>
    <w:rsid w:val="003A795B"/>
    <w:rsid w:val="003B4868"/>
    <w:rsid w:val="003B62C9"/>
    <w:rsid w:val="003D6C16"/>
    <w:rsid w:val="003E44BE"/>
    <w:rsid w:val="00405E75"/>
    <w:rsid w:val="0040796F"/>
    <w:rsid w:val="0041034D"/>
    <w:rsid w:val="004107BB"/>
    <w:rsid w:val="00412A94"/>
    <w:rsid w:val="00414F05"/>
    <w:rsid w:val="00427A64"/>
    <w:rsid w:val="0043403A"/>
    <w:rsid w:val="0043561C"/>
    <w:rsid w:val="00435B91"/>
    <w:rsid w:val="004409A0"/>
    <w:rsid w:val="004848E1"/>
    <w:rsid w:val="00490032"/>
    <w:rsid w:val="004B5EBF"/>
    <w:rsid w:val="004B7698"/>
    <w:rsid w:val="004C201E"/>
    <w:rsid w:val="004C5057"/>
    <w:rsid w:val="004D697E"/>
    <w:rsid w:val="004E7E01"/>
    <w:rsid w:val="00502AA0"/>
    <w:rsid w:val="00503460"/>
    <w:rsid w:val="00514D37"/>
    <w:rsid w:val="005172FF"/>
    <w:rsid w:val="00517509"/>
    <w:rsid w:val="00527A6B"/>
    <w:rsid w:val="0054032D"/>
    <w:rsid w:val="00544098"/>
    <w:rsid w:val="00544DCC"/>
    <w:rsid w:val="00552CA6"/>
    <w:rsid w:val="00553521"/>
    <w:rsid w:val="00565D91"/>
    <w:rsid w:val="00571493"/>
    <w:rsid w:val="005820BA"/>
    <w:rsid w:val="0058787A"/>
    <w:rsid w:val="00591DDE"/>
    <w:rsid w:val="005D7C61"/>
    <w:rsid w:val="005F7A48"/>
    <w:rsid w:val="00603255"/>
    <w:rsid w:val="006300A9"/>
    <w:rsid w:val="00634322"/>
    <w:rsid w:val="00636B5B"/>
    <w:rsid w:val="00641015"/>
    <w:rsid w:val="00664E25"/>
    <w:rsid w:val="00680195"/>
    <w:rsid w:val="00682C4C"/>
    <w:rsid w:val="00683DBF"/>
    <w:rsid w:val="006A0C95"/>
    <w:rsid w:val="006A7CBF"/>
    <w:rsid w:val="006D400E"/>
    <w:rsid w:val="006E6F32"/>
    <w:rsid w:val="006F0116"/>
    <w:rsid w:val="006F2190"/>
    <w:rsid w:val="00704339"/>
    <w:rsid w:val="00704B34"/>
    <w:rsid w:val="00705F0D"/>
    <w:rsid w:val="00712A8A"/>
    <w:rsid w:val="00725305"/>
    <w:rsid w:val="007507A2"/>
    <w:rsid w:val="00761B52"/>
    <w:rsid w:val="00763208"/>
    <w:rsid w:val="007652AF"/>
    <w:rsid w:val="00765772"/>
    <w:rsid w:val="0077018E"/>
    <w:rsid w:val="00777821"/>
    <w:rsid w:val="00782C70"/>
    <w:rsid w:val="00785B50"/>
    <w:rsid w:val="00793F78"/>
    <w:rsid w:val="00795A0C"/>
    <w:rsid w:val="007B714C"/>
    <w:rsid w:val="007C15D9"/>
    <w:rsid w:val="007C7644"/>
    <w:rsid w:val="007D3418"/>
    <w:rsid w:val="007D3933"/>
    <w:rsid w:val="00812B1B"/>
    <w:rsid w:val="00824378"/>
    <w:rsid w:val="00842B05"/>
    <w:rsid w:val="00843111"/>
    <w:rsid w:val="008436DC"/>
    <w:rsid w:val="0085145B"/>
    <w:rsid w:val="008571F9"/>
    <w:rsid w:val="00864823"/>
    <w:rsid w:val="00867DBE"/>
    <w:rsid w:val="008721CA"/>
    <w:rsid w:val="008755F2"/>
    <w:rsid w:val="00876E99"/>
    <w:rsid w:val="00890C81"/>
    <w:rsid w:val="008A1A19"/>
    <w:rsid w:val="008B2F1C"/>
    <w:rsid w:val="008C5798"/>
    <w:rsid w:val="008C7907"/>
    <w:rsid w:val="008D706D"/>
    <w:rsid w:val="008D7951"/>
    <w:rsid w:val="008E4B1C"/>
    <w:rsid w:val="008E7DED"/>
    <w:rsid w:val="008F7E53"/>
    <w:rsid w:val="0090343F"/>
    <w:rsid w:val="00917E4D"/>
    <w:rsid w:val="00952205"/>
    <w:rsid w:val="00971826"/>
    <w:rsid w:val="00992409"/>
    <w:rsid w:val="009A3C02"/>
    <w:rsid w:val="009C2883"/>
    <w:rsid w:val="009C3155"/>
    <w:rsid w:val="009C3756"/>
    <w:rsid w:val="00A0531C"/>
    <w:rsid w:val="00A5042C"/>
    <w:rsid w:val="00A76A06"/>
    <w:rsid w:val="00A87ADD"/>
    <w:rsid w:val="00A94EFF"/>
    <w:rsid w:val="00AA0BBF"/>
    <w:rsid w:val="00AA289B"/>
    <w:rsid w:val="00AC03F3"/>
    <w:rsid w:val="00AC74D8"/>
    <w:rsid w:val="00AF1EF7"/>
    <w:rsid w:val="00AF3DCD"/>
    <w:rsid w:val="00B032C6"/>
    <w:rsid w:val="00B131DF"/>
    <w:rsid w:val="00B1379A"/>
    <w:rsid w:val="00B57C74"/>
    <w:rsid w:val="00B6022B"/>
    <w:rsid w:val="00B65119"/>
    <w:rsid w:val="00B672A0"/>
    <w:rsid w:val="00B71CB1"/>
    <w:rsid w:val="00B74871"/>
    <w:rsid w:val="00B75BB1"/>
    <w:rsid w:val="00B81F3F"/>
    <w:rsid w:val="00B90357"/>
    <w:rsid w:val="00B95560"/>
    <w:rsid w:val="00BD2615"/>
    <w:rsid w:val="00BD7827"/>
    <w:rsid w:val="00BF2779"/>
    <w:rsid w:val="00BF2C37"/>
    <w:rsid w:val="00C12013"/>
    <w:rsid w:val="00C24017"/>
    <w:rsid w:val="00C27370"/>
    <w:rsid w:val="00C320EB"/>
    <w:rsid w:val="00C37435"/>
    <w:rsid w:val="00C54698"/>
    <w:rsid w:val="00C570FF"/>
    <w:rsid w:val="00C97F23"/>
    <w:rsid w:val="00CB70CE"/>
    <w:rsid w:val="00CC5D41"/>
    <w:rsid w:val="00CE63B7"/>
    <w:rsid w:val="00CF32AB"/>
    <w:rsid w:val="00D0245B"/>
    <w:rsid w:val="00D10977"/>
    <w:rsid w:val="00D12E38"/>
    <w:rsid w:val="00D1438D"/>
    <w:rsid w:val="00D159BE"/>
    <w:rsid w:val="00D200DB"/>
    <w:rsid w:val="00D406DB"/>
    <w:rsid w:val="00D54A45"/>
    <w:rsid w:val="00D666FE"/>
    <w:rsid w:val="00D72B33"/>
    <w:rsid w:val="00D75306"/>
    <w:rsid w:val="00D80255"/>
    <w:rsid w:val="00D942C9"/>
    <w:rsid w:val="00DA0554"/>
    <w:rsid w:val="00DA61A6"/>
    <w:rsid w:val="00DC0132"/>
    <w:rsid w:val="00DC5F73"/>
    <w:rsid w:val="00DE09F3"/>
    <w:rsid w:val="00DE75E0"/>
    <w:rsid w:val="00E01C66"/>
    <w:rsid w:val="00E14810"/>
    <w:rsid w:val="00E3751D"/>
    <w:rsid w:val="00E8625E"/>
    <w:rsid w:val="00E87477"/>
    <w:rsid w:val="00EA2A69"/>
    <w:rsid w:val="00EB334D"/>
    <w:rsid w:val="00EB689B"/>
    <w:rsid w:val="00ED2869"/>
    <w:rsid w:val="00ED4492"/>
    <w:rsid w:val="00ED4EB2"/>
    <w:rsid w:val="00ED64B5"/>
    <w:rsid w:val="00EE666A"/>
    <w:rsid w:val="00EF7713"/>
    <w:rsid w:val="00F03B11"/>
    <w:rsid w:val="00F17996"/>
    <w:rsid w:val="00F22A56"/>
    <w:rsid w:val="00F23943"/>
    <w:rsid w:val="00F37E07"/>
    <w:rsid w:val="00F471C4"/>
    <w:rsid w:val="00F52DA2"/>
    <w:rsid w:val="00F74C23"/>
    <w:rsid w:val="00F770A5"/>
    <w:rsid w:val="00FA63C2"/>
    <w:rsid w:val="00FB2A6D"/>
    <w:rsid w:val="00FB7AE5"/>
    <w:rsid w:val="00FC4E41"/>
    <w:rsid w:val="00FC5150"/>
    <w:rsid w:val="00FE0D27"/>
    <w:rsid w:val="00FE29E8"/>
    <w:rsid w:val="00FF18D9"/>
    <w:rsid w:val="00F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A23E19"/>
  <w15:docId w15:val="{AE6FA668-3B50-4668-A5D1-D9CFAC46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8F"/>
    <w:pPr>
      <w:spacing w:after="160" w:line="259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rsid w:val="00104D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4D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D90"/>
    <w:rPr>
      <w:rFonts w:eastAsiaTheme="minorEastAsia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04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D90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D90"/>
    <w:rPr>
      <w:rFonts w:ascii="Tahoma" w:eastAsiaTheme="minorEastAsia" w:hAnsi="Tahoma" w:cs="Tahoma"/>
      <w:sz w:val="16"/>
      <w:szCs w:val="16"/>
      <w:lang w:eastAsia="zh-CN"/>
    </w:rPr>
  </w:style>
  <w:style w:type="table" w:styleId="TableGrid">
    <w:name w:val="Table Grid"/>
    <w:basedOn w:val="TableNormal"/>
    <w:uiPriority w:val="59"/>
    <w:rsid w:val="005D7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0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03255"/>
    <w:rPr>
      <w:b/>
      <w:bCs/>
    </w:rPr>
  </w:style>
  <w:style w:type="character" w:styleId="Emphasis">
    <w:name w:val="Emphasis"/>
    <w:basedOn w:val="DefaultParagraphFont"/>
    <w:uiPriority w:val="20"/>
    <w:qFormat/>
    <w:rsid w:val="0060325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9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xana.rusu@igm.gov.md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gratie@mai.gov.m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Elena Dima</dc:creator>
  <cp:lastModifiedBy>ADMIN</cp:lastModifiedBy>
  <cp:revision>519</cp:revision>
  <cp:lastPrinted>2025-11-24T09:45:00Z</cp:lastPrinted>
  <dcterms:created xsi:type="dcterms:W3CDTF">2025-08-27T09:40:00Z</dcterms:created>
  <dcterms:modified xsi:type="dcterms:W3CDTF">2025-11-24T21:11:00Z</dcterms:modified>
</cp:coreProperties>
</file>